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53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w:t>
      </w:r>
      <w:r>
        <w:rPr>
          <w:rFonts w:ascii="Arial" w:hAnsi="Arial" w:eastAsia="Arial" w:cs="Arial"/>
          <w:b/>
          <w:color w:val="000000"/>
          <w:sz w:val="84"/>
        </w:rPr>
        <w:t xml:space="preserve"> </w:t>
      </w:r>
      <w:r>
        <w:rPr>
          <w:rFonts w:ascii="SimSun" w:hAnsi="SimSun" w:eastAsia="SimSun" w:cs="SimSun"/>
          <w:b/>
          <w:color w:val="000000"/>
          <w:sz w:val="84"/>
        </w:rPr>
        <w:t xml:space="preserve">标</w:t>
      </w:r>
      <w:r>
        <w:rPr>
          <w:rFonts w:ascii="Arial" w:hAnsi="Arial" w:eastAsia="Arial" w:cs="Arial"/>
          <w:b/>
          <w:color w:val="000000"/>
          <w:sz w:val="84"/>
        </w:rPr>
        <w:t xml:space="preserve"> </w:t>
      </w:r>
      <w:r>
        <w:rPr>
          <w:rFonts w:ascii="SimSun" w:hAnsi="SimSun" w:eastAsia="SimSun" w:cs="SimSun"/>
          <w:b/>
          <w:color w:val="000000"/>
          <w:sz w:val="84"/>
        </w:rPr>
        <w:t xml:space="preserve">文</w:t>
      </w:r>
      <w:r>
        <w:rPr>
          <w:rFonts w:ascii="Arial" w:hAnsi="Arial" w:eastAsia="Arial" w:cs="Arial"/>
          <w:b/>
          <w:color w:val="000000"/>
          <w:sz w:val="84"/>
        </w:rPr>
        <w:t xml:space="preserve"> </w:t>
      </w:r>
      <w:r>
        <w:rPr>
          <w:rFonts w:ascii="SimSun" w:hAnsi="SimSun" w:eastAsia="SimSun" w:cs="SimSun"/>
          <w:b/>
          <w:color w:val="000000"/>
          <w:sz w:val="84"/>
        </w:rPr>
        <w:t xml:space="preserve">件</w:t>
      </w:r>
      <w:r/>
    </w:p>
    <w:p>
      <w:pPr>
        <w:ind w:left="0" w:right="0" w:firstLine="643"/>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3855"/>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643"/>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643"/>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643"/>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640"/>
        <w:spacing w:before="120" w:after="12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项目名称：盐城市大丰区老年人意外伤害保险项目</w:t>
      </w:r>
      <w:r/>
    </w:p>
    <w:p>
      <w:pPr>
        <w:ind w:left="0" w:right="0" w:firstLine="640"/>
        <w:jc w:val="both"/>
        <w:spacing w:before="120" w:after="12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项目编号：JSZC-320904-JSJY-G2025-0061 </w:t>
      </w:r>
      <w:r>
        <w:rPr>
          <w:rFonts w:ascii="Arial" w:hAnsi="Arial" w:eastAsia="Arial" w:cs="Arial"/>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rPr>
          <w:rFonts w:ascii="Times New Roman" w:hAnsi="Times New Roman" w:eastAsia="Times New Roman" w:cs="Times New Roman"/>
          <w:color w:val="000000"/>
          <w:sz w:val="20"/>
          <w:szCs w:val="20"/>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highlight w:val="none"/>
        </w:rPr>
      </w:r>
      <w:r>
        <w:rPr>
          <w:rFonts w:ascii="Times New Roman" w:hAnsi="Times New Roman" w:eastAsia="Times New Roman" w:cs="Times New Roman"/>
          <w:color w:val="000000"/>
          <w:sz w:val="20"/>
          <w:highlight w:val="none"/>
        </w:rPr>
      </w:r>
    </w:p>
    <w:p>
      <w:pPr>
        <w:ind w:left="0" w:right="0" w:firstLine="64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0"/>
          <w:sz w:val="32"/>
        </w:rPr>
        <w:t xml:space="preserve">招 标 人</w:t>
      </w:r>
      <w:r>
        <w:rPr>
          <w:rFonts w:ascii="SimSun" w:hAnsi="SimSun" w:eastAsia="SimSun" w:cs="SimSun"/>
          <w:color w:val="000000"/>
          <w:sz w:val="32"/>
        </w:rPr>
        <w:t xml:space="preserve">：</w:t>
      </w:r>
      <w:r>
        <w:rPr>
          <w:rFonts w:ascii="SimSun" w:hAnsi="SimSun" w:eastAsia="SimSun" w:cs="SimSun"/>
          <w:color w:val="000000"/>
          <w:sz w:val="32"/>
          <w:u w:val="single"/>
        </w:rPr>
        <w:t xml:space="preserve">盐城市大丰区民政局</w:t>
      </w:r>
      <w:r/>
    </w:p>
    <w:p>
      <w:pPr>
        <w:ind w:left="0" w:right="0" w:firstLine="64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招标代理机构：</w:t>
      </w:r>
      <w:r>
        <w:rPr>
          <w:rFonts w:ascii="SimSun" w:hAnsi="SimSun" w:eastAsia="SimSun" w:cs="SimSun"/>
          <w:color w:val="000000"/>
          <w:sz w:val="32"/>
          <w:u w:val="single"/>
        </w:rPr>
        <w:t xml:space="preserve">江苏建友兴业工程项目管理有限公司</w:t>
      </w:r>
      <w:r/>
    </w:p>
    <w:p>
      <w:pPr>
        <w:ind w:left="0" w:right="0" w:firstLine="0"/>
        <w:jc w:val="center"/>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2025年10月</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w:t>
      </w:r>
      <w:r>
        <w:rPr>
          <w:rFonts w:ascii="SimSun" w:hAnsi="SimSun" w:eastAsia="SimSun" w:cs="SimSun"/>
          <w:color w:val="000000"/>
          <w:sz w:val="44"/>
        </w:rPr>
        <w:t xml:space="preserve"> </w:t>
      </w:r>
      <w:r>
        <w:rPr>
          <w:rFonts w:ascii="SimHei" w:hAnsi="SimHei" w:eastAsia="SimHei" w:cs="SimHei"/>
          <w:color w:val="000000"/>
          <w:sz w:val="44"/>
        </w:rPr>
        <w:t xml:space="preserve">招标公告</w:t>
      </w:r>
      <w:r/>
    </w:p>
    <w:p>
      <w:pPr>
        <w:ind w:left="0" w:right="0" w:firstLine="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盐城市大丰区老年人意外伤害保险项目JSZC-320904-JSJY-G2025-0061招标项目的潜在投标人应在“苏采云”系统内免费下载（投标人必须在苏采云系统中获取采购文件，方能参与政府采购项目）获取招标文件，并于2025-12-22 09：00（北京时间）前递交投标文件。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JSZC-320904-JSJY-G2025-0061</w:t>
      </w: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盐城市大丰区老年人意外伤害保险项目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rPr>
          <w:rFonts w:ascii="SimSun" w:hAnsi="SimSun" w:eastAsia="SimSun" w:cs="SimSun"/>
          <w:color w:val="000000"/>
          <w:sz w:val="24"/>
          <w:u w:val="single"/>
        </w:rPr>
        <w:t xml:space="preserve">178.00万元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rPr>
          <w:rFonts w:ascii="SimSun" w:hAnsi="SimSun" w:eastAsia="SimSun" w:cs="SimSun"/>
          <w:color w:val="000000"/>
          <w:sz w:val="24"/>
          <w:u w:val="single"/>
        </w:rPr>
        <w:t xml:space="preserve">本项目保费采用固定价50元/人/年，其价格不列为评审因素。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rPr>
          <w:rFonts w:ascii="SimSun" w:hAnsi="SimSun" w:eastAsia="SimSun" w:cs="SimSun"/>
          <w:color w:val="000000"/>
          <w:sz w:val="24"/>
          <w:u w:val="single"/>
        </w:rPr>
        <w:t xml:space="preserve">盐城市大丰区老年人意外伤害保险项目，参保对象为具有盐城市大丰区户籍的</w:t>
      </w:r>
      <w:r>
        <w:rPr>
          <w:rFonts w:ascii="SimSun" w:hAnsi="SimSun" w:eastAsia="SimSun" w:cs="SimSun"/>
          <w:color w:val="000000"/>
          <w:sz w:val="24"/>
          <w:u w:val="single"/>
        </w:rPr>
        <w:t xml:space="preserve">60</w:t>
      </w:r>
      <w:r>
        <w:rPr>
          <w:rFonts w:ascii="SimSun" w:hAnsi="SimSun" w:eastAsia="SimSun" w:cs="SimSun"/>
          <w:color w:val="000000"/>
          <w:sz w:val="24"/>
          <w:u w:val="single"/>
        </w:rPr>
        <w:t xml:space="preserve">周岁及以上的低保、</w:t>
      </w:r>
      <w:r>
        <w:rPr>
          <w:rFonts w:ascii="SimSun" w:hAnsi="SimSun" w:eastAsia="SimSun" w:cs="SimSun"/>
          <w:color w:val="000000"/>
          <w:sz w:val="24"/>
          <w:u w:val="single"/>
        </w:rPr>
        <w:t xml:space="preserve">分散特困及80周岁（含）以上老年人群购买老年人意外伤害险，参保人数约35600人，采购人数最终以核对的实际人数为准。本项目投标人对保额进行承诺，承诺内容不得低于招标需求规定的标准，保费50元/人/年固定价。具体内容详见采购文件第四章项目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rPr>
          <w:rFonts w:ascii="SimSun" w:hAnsi="SimSun" w:eastAsia="SimSun" w:cs="SimSun"/>
          <w:color w:val="000000"/>
          <w:sz w:val="24"/>
          <w:u w:val="single"/>
        </w:rPr>
        <w:t xml:space="preserve">一年；本项目保险期限以保险单载明的起讫时间为准；为保障项目的连续性，本项目的保险期限须与上一年度的保险止期接续，在此期间发生的保险事故责任均由中标单位承担。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w:t>
      </w:r>
      <w:r>
        <w:rPr>
          <w:rFonts w:ascii="SimSun" w:hAnsi="SimSun" w:eastAsia="SimSun" w:cs="SimSun"/>
          <w:color w:val="000000"/>
          <w:sz w:val="24"/>
          <w:u w:val="single"/>
        </w:rPr>
        <w:t xml:space="preserve">否</w:t>
      </w:r>
      <w:r>
        <w:rPr>
          <w:rFonts w:ascii="SimSun" w:hAnsi="SimSun" w:eastAsia="SimSun" w:cs="SimSun"/>
          <w:color w:val="000000"/>
          <w:sz w:val="24"/>
        </w:rPr>
        <w:t xml:space="preserve">。</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2.上一年度的财务状况报表（成立不满一年无需提供）；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3.具备履行合同所必需的设备和专业技术能力的书面声明；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8.单位负责人为同一人或者存在直接控股、管理关系的不同供应商，不得参加同一合同项下的政府采购活动。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1.落实政府采购政策需满足的资格要求：无。</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的特定资格要求：投标人是经中国保险监督管理委员会批准的的中国境内保险公司，具有保险业务经营许可证和营业执照，具有较强服务能力，具备经营本次招标的保险等相关险种及承保理赔的公司或分公司（或中心支公司）。</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72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00"/>
          <w:sz w:val="24"/>
          <w:u w:val="single"/>
        </w:rPr>
        <w:t xml:space="preserve">自招标文件公告发布之日起5个工作日</w:t>
      </w:r>
      <w:r>
        <w:rPr>
          <w:rFonts w:ascii="SimSun" w:hAnsi="SimSun" w:eastAsia="SimSun" w:cs="SimSun"/>
          <w:color w:val="000000"/>
          <w:sz w:val="24"/>
        </w:rPr>
        <w:t xml:space="preserve">。</w:t>
      </w:r>
      <w:r/>
    </w:p>
    <w:p>
      <w:pPr>
        <w:ind w:left="0" w:right="0" w:firstLine="7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地点：“苏采云”系统内免费下载（投标人必须在苏采云系统中获取采购文件，方能参与政府采购项目）。</w:t>
      </w:r>
      <w:r/>
    </w:p>
    <w:p>
      <w:pPr>
        <w:ind w:left="0" w:right="0" w:firstLine="72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方式：本项目采用网上注册登记方式。</w:t>
      </w:r>
      <w:r/>
    </w:p>
    <w:p>
      <w:pPr>
        <w:ind w:left="0" w:right="0" w:firstLine="7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售价：0元。</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72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2025-12-22  09:00 （北京时间）。</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2.方式：本项目采用网上注册登记方式。</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潜在供应商访问电子招标响应交易平台的网络地址和方法：</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潜在投标人访问“苏采云”系统方法：江苏省政府采购网首页-“苏采云”链接。 </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采购文件（后缀名为“.kedt”）、供应商操作手册及政府采购客户端 工具可通过“苏采云”系统相应链接进行下载。 </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采购代理机构将数据电文形式的采购文件加载至“苏采云”系统，供潜在供应商下载或者查阅。</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请潜在投标单位提前安装相应的控件（详见《“苏采云”系统供应商操作手册》）并使用谷歌浏览器登录“苏采云”系统参与不见面开评标。</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如潜在投标人未按上述要求操作，将自行承担所产生的风险。</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3.有关本次招标的事项若存在变动或修改，敬请及时关注盐城市政府采购中心在“中国政府采购网”、“江苏政府采购网”、“盐城市政府采购网”发布的更正公告。</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4.本次招标不收取投标保证金，不收取质量保证金。</w:t>
      </w:r>
      <w:r/>
    </w:p>
    <w:p>
      <w:pPr>
        <w:pStyle w:val="652"/>
        <w:ind w:left="0" w:right="0" w:firstLine="482"/>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名称：盐城市大丰区民政局  </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址：盐城市大丰区飞达东路100号丰华大厦19楼  </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联系人：吴孟            </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联系方式：13851019168</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名称：江苏建友兴业工程项目管理有限公司</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地址：盐城市大丰区黄海东路28号（恒达世纪新城18幢4楼）</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联系人：单钰锋                    </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联系方式：18761249196                  </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项目联系人：单钰锋</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话：18761249196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第二章</w:t>
      </w:r>
      <w:r>
        <w:rPr>
          <w:rFonts w:ascii="SimSun" w:hAnsi="SimSun" w:eastAsia="SimSun" w:cs="SimSun"/>
          <w:color w:val="000000"/>
          <w:sz w:val="44"/>
        </w:rPr>
        <w:t xml:space="preserve"> </w:t>
      </w:r>
      <w:r>
        <w:rPr>
          <w:rFonts w:ascii="SimHei" w:hAnsi="SimHei" w:eastAsia="SimHei" w:cs="SimHei"/>
          <w:color w:val="000000"/>
          <w:sz w:val="44"/>
        </w:rPr>
        <w:t xml:space="preserve"> 投标人须知</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1、招标方式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2、合格的投标人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3、适用法律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投标人应自行承担所有与参加投标有关的费用，无论投标过程中的做法和结果如何，采购人和江苏建友兴业工程项目管理有限公司在任何情况下均无义务和责任承担这些费用。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4.2本次招标代理机构和采购人不收取标书工本费。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5、招标文件的约束力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6、招标文件构成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请仔细检查招标文件是否齐全，如有缺漏请立即与招标人联系解决。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7、招标文件的澄清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前按招标公告中的通讯地址，以书面形式通知招标代理机构。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8、招标文件的修改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在投标截止时间前，招标人可以对招标文件进行修改。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招标人有权按照法定的要求推迟投标截止日期和开标日期。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招标文件的修改将在中国政府采购网、江苏政府采购网、盐城市政府采购网公布，补充文件将作为招标文件的组成部分，并对投标人具有约束力。</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9、投标文件的语言及度量衡单位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投标人提交的投标文件以及投标人与招标人就有关投标的所有来往通知、函件和文件均应使用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10、投标文件构成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10.2如标书制作工具中格式和内容与“中国政府采购网”、“江苏政府采购网”、“盐城市政府采购网</w:t>
      </w:r>
      <w:r>
        <w:rPr>
          <w:rFonts w:ascii="SimSun" w:hAnsi="SimSun" w:eastAsia="SimSun" w:cs="SimSun"/>
          <w:color w:val="000000"/>
          <w:sz w:val="28"/>
        </w:rPr>
        <w:t xml:space="preserve">”</w:t>
      </w:r>
      <w:r>
        <w:rPr>
          <w:rFonts w:ascii="SimSun" w:hAnsi="SimSun" w:eastAsia="SimSun" w:cs="SimSun"/>
          <w:color w:val="000000"/>
          <w:sz w:val="24"/>
        </w:rPr>
        <w:t xml:space="preserve">发布的招标文件不一致，请以中国政府采购网”、“江苏政府采购网”、“盐城市政府采购网</w:t>
      </w:r>
      <w:r>
        <w:rPr>
          <w:rFonts w:ascii="SimSun" w:hAnsi="SimSun" w:eastAsia="SimSun" w:cs="SimSun"/>
          <w:color w:val="000000"/>
          <w:sz w:val="28"/>
        </w:rPr>
        <w:t xml:space="preserve">”</w:t>
      </w:r>
      <w:r>
        <w:rPr>
          <w:rFonts w:ascii="SimSun" w:hAnsi="SimSun" w:eastAsia="SimSun" w:cs="SimSun"/>
          <w:color w:val="000000"/>
          <w:sz w:val="24"/>
        </w:rPr>
        <w:t xml:space="preserve">发布的招标文件为准。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11、证明投标人及投标标的符合招标文件规定的文件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12.3 本项目保费采用固定价50元/人/年，其价格不列为评审因素，投标时投标总价统一填写178万元。</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友情提醒：供应商投标时，在客户端标书制作时，扣除类型选项请选择 “无”。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13、技术要求响应及偏离表、商务要求响应及偏离表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14、投标函和开标一览表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15.1投标有效期为采购人规定的开标之日后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16、投标有效期的延长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注：供应商不得恶意投标、弄虚作假，一经查实，采购人有权取消其本项目中标（投标）资格，并向监督部门反应，将其列入政府采购失信名单。</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17、电子投标文件的递交</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18、投标截止日期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 投标人上传电子投标文件的时间不得迟于招标公告中规定的投标截止时间。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招标人可以按照规定，通过修改招标文件酌情延长投标截止日期，在此情况下，投标人的所有权利和义务以及投标人受制的截止日期均应以延长后新的截止日期为准。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19、投标文件的拒收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招标人拒绝接收在其规定的投标截止时间后上传的任何投标文件。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20、投标文件的撤回和修改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20.1.1电子投标文件的撤回</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20.1.2投标人撤回电子投标文件，则认为其不再参与本项目投标活动。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20.2.2在投标截止时间之后，投标人不得对其电子投标文件作任何修改。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21、开标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招标人将在招标公告中规定的时间和地点组织公开开标。投标人应当按照《操作手册》规定，参加开标活动和在苏采云系统规定的时间内对投标文件进行解密。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21.2开标仪式由招标人或招标代理机构组织。苏采云系统将自动对项目进行开标，并宣布各投标人名称和投标价格。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22、评标委员会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22.1开标后，招标人将立即组织评标委员会（以下简称评委会）进行评标。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评委会由采购人代表和有关技术、经济等方面的专家组成，且人员构成符合政府采购有关规定。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22.3评委会独立工作，负责评审所有投标文件并确定中标侯选人。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23．评标过程的保密与公正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23.1凡是与审查、澄清、评价和比较投标的有关资料以及授标建议等，采购人、评委、招标代理机构均不得向投标人或与评标无关的其他人员透露。</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招标人和评标委员会不向未中标的投标人解释未中标原因，也不公布评标过程中的相关细节。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24．投标文件的澄清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24.3接到评委会澄清、说明和补正要求的投标人如未按规定做出澄清、说明和补正，其风险由投标人自行承担。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25、对投标文件的初审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25.1.3未通过资格审查或符合性审查的投标人，招标代理将在苏采云系统中告知未通过资格审查或符合性审查的原因，评审结束后，招标代理将不再告知未通过资格审查或符合性审查的原因。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25.4评委会将对确定为实质性响应的投标进行进一步审核，看其是否有计算上或累加上的算术错误，修正错误的原则如下：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26.6投标人在开、评标全过程中应保持通讯畅通，及时登录苏采云系统查阅、答复相关信息，并安排专人与招标代理机构及评标委员会联系。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26、无效投标条款和废标条款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26.1.1投标人在苏采云系统规定的时间内未成功解密电子投标文件的。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26.1.2投标人未按照招标文件要求上传电子投标文件的。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26.1.7不符合招标文件中规定的实质性要求和条件的。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26.1.10投标人不能证明其报价合理性的，评标委员会应当将其作为无效投标处理。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（一）评审过程中出现下列情形之一的，评标委员会应当启动异常低价投标审查程序：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1.投标报价低于采购项目预算50%的，即投标报价&lt;采购项目预算×50%；</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2.投标报价低于采购项目最高限价45%的，即投标报价&lt;采购项目最高限价×45%；</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3.评标委员会认定的供应商报价过低、有可能影响产品质量或者不能诚信履约的其他情形。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26.1.11投标文件未按照招标文件要求加盖CA电子公章的。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 投标保额承诺低于招标需求第五项（一）主要保险责任约定的金额标准。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26.1.13其他法律、法规及本招标文件规定的属无效投标的情形。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26.2.5因苏采云系统系统故障原因造成开标不成功的。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27、确定中标单位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招标代理机构将在中国政府采购网”、“江苏政府采购网”、“盐城市政府采购网</w:t>
      </w:r>
      <w:r>
        <w:rPr>
          <w:rFonts w:ascii="SimSun" w:hAnsi="SimSun" w:eastAsia="SimSun" w:cs="SimSun"/>
          <w:color w:val="000000"/>
          <w:sz w:val="28"/>
        </w:rPr>
        <w:t xml:space="preserve">”</w:t>
      </w:r>
      <w:r>
        <w:rPr>
          <w:rFonts w:ascii="SimSun" w:hAnsi="SimSun" w:eastAsia="SimSun" w:cs="SimSun"/>
          <w:color w:val="000000"/>
          <w:sz w:val="24"/>
        </w:rPr>
        <w:t xml:space="preserve">发布中标公告，公告期限为1个工作日。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27.4若有充分证据证明，中标人出现下列情况之一的，一经查实，将被取消中标资格：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27.4.2向采购人、招标代理机构行贿或者提供其他不正当利益的。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27.5.有下列情形之一的，视为投标人串通投标，投标无效：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27.5.3不同投标人的投标文件载明的项目管理成员或者联系人员为同一人；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28、质疑处理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br/>
        <w:t xml:space="preserve">     28.2.2对采购过程提出质疑的，为各采购程序环节结束之日；</w:t>
        <w:br/>
        <w:t xml:space="preserve">     28.2.3对中标或者成交结果提出质疑的，为中标或者成交结果公告期限届满之日。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采购人及招标代理机构只接收以纸质原件形式送达的质疑,采购人和招标代理机构不接受未填写快递运单的快件。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28.5.1内容不符合《政府采购质疑和投诉办法》第十二条规定的质疑。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28.5.2超出政府采购法定期限的质疑。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28.5.3以传真、电子邮件等方式递交的非原件形式的质疑。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28.5.4未参加投标活动的供应商或在投标活动中自身权益未受到损害的供应商所提出的质疑。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29、中标通知书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30. 签订合同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31、服务（包含与服务相关的货物）的追加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32、政府采购线上合同信用融资政策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30"/>
        </w:rPr>
        <w:t xml:space="preserve">33、其他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33.1本项目落实预付款制度，预付款比例为</w:t>
      </w:r>
      <w:r>
        <w:rPr>
          <w:rFonts w:ascii="SimSun" w:hAnsi="SimSun" w:eastAsia="SimSun" w:cs="SimSun"/>
          <w:color w:val="000000"/>
          <w:sz w:val="24"/>
          <w:u w:val="single"/>
        </w:rPr>
        <w:t xml:space="preserve">30</w:t>
      </w:r>
      <w:r>
        <w:rPr>
          <w:rFonts w:ascii="SimSun" w:hAnsi="SimSun" w:eastAsia="SimSun" w:cs="SimSun"/>
          <w:color w:val="000000"/>
          <w:sz w:val="24"/>
        </w:rPr>
        <w:t xml:space="preserve">%。在签订合同时，中标、成交供应商明确书面表示无需预付款或者主动要求降低预付款比例的，采购人可就预付款比例作相应调整。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确需收取履约保证金的，履约保证金的缴纳形式：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如以履约保函（保险）形式缴纳履约保证金，供应商可通过政府采购电子履约保函（保险）平台（www.jsdzbh.com）在线申请履约保函（保险）。</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履约保证金允许供应商自主选择以支票、汇票、本票、保函等非现金形式缴纳或提交。</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33.3、采购项目需满足的政府采购政策目标和具体支持对象</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政府采购落实信用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33.5政府采购落实“政采贷”政策，依据《关于深入推进政府采购线上合同信用融资工作的通知》（苏财购﹝2021﹞82号）。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33.8政府采购落实《关于进一步加强政府采购需求和履约验收管理的指导意见》（财库﹝2016﹞205号）、《关于做好政府采购支持企业发展有关事项的通知》（苏财购﹝2020﹞52号）。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34、政府采购落实（苏财购﹝2022﹞51号）。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34.1政府采购落实《关于进一步优化政府采购营商环境的通知》（盐财购﹝2023﹞17号）。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34.2政府采购落实《江苏省财政厅关于加强政府绿色采购有关事项的通知》 （苏财购﹝2023﹞65号）。</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35、招标代理服务费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本项目招标代理服务费参照苏招协【2022】002号规定收费标准的40%计取（代理服务费计算基准价按178万元计取）。招标完成后，由中标供应商在领取中标通知书前一次性向代理机构支付，请各投标人投标报价时综合考虑到报价中，不得单列。</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Hei" w:hAnsi="SimHei" w:eastAsia="SimHei" w:cs="SimHei"/>
          <w:color w:val="000000"/>
          <w:sz w:val="44"/>
        </w:rPr>
        <w:t xml:space="preserve"> 第三章 合同条款</w:t>
      </w:r>
      <w:r>
        <w:rPr>
          <w:rFonts w:ascii="Times New Roman" w:hAnsi="Times New Roman" w:eastAsia="Times New Roman" w:cs="Times New Roman"/>
          <w:sz w:val="20"/>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盐城市大丰区老年人意外伤害保险项目</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    方：</w:t>
      </w:r>
      <w:r>
        <w:rPr>
          <w:rFonts w:ascii="SimSun" w:hAnsi="SimSun" w:eastAsia="SimSun" w:cs="SimSun"/>
          <w:color w:val="000000"/>
          <w:sz w:val="24"/>
          <w:u w:val="single"/>
        </w:rPr>
        <w:t xml:space="preserve"> 盐城市大丰区民政局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    方：</w:t>
      </w:r>
      <w:r>
        <w:rPr>
          <w:rFonts w:ascii="SimSun" w:hAnsi="SimSun" w:eastAsia="SimSun" w:cs="SimSun"/>
          <w:color w:val="000000"/>
          <w:sz w:val="24"/>
          <w:u w:val="single"/>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甲、乙双方根据盐城市大丰区老年人意外伤害保险项目公开招标的结果，签署本合同。</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1.1服务内容：具有大丰区户籍的60周岁及以上的低保、分散特困和80周岁（含）以上老年人群购买老年人意外伤害险，参保人数约35600人，采购人数最终以核对的实际人数为准。</w:t>
      </w:r>
      <w:r/>
    </w:p>
    <w:p>
      <w:pPr>
        <w:ind w:left="0" w:right="0" w:firstLine="420"/>
        <w:jc w:val="both"/>
        <w:spacing w:before="0" w:after="0" w:line="479" w:lineRule="atLeast"/>
        <w:tabs>
          <w:tab w:val="left" w:pos="525" w:leader="none"/>
          <w:tab w:val="left" w:pos="960" w:leader="none"/>
          <w:tab w:val="left" w:pos="1050" w:leader="none"/>
          <w:tab w:val="left" w:pos="11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1.2合同履行期限：</w:t>
      </w:r>
      <w:r>
        <w:rPr>
          <w:rFonts w:ascii="SimSun" w:hAnsi="SimSun" w:eastAsia="SimSun" w:cs="SimSun"/>
          <w:b/>
          <w:color w:val="000000"/>
          <w:sz w:val="24"/>
        </w:rPr>
        <w:t xml:space="preserve">一年；本项目保险期限以保险单载明的起讫时间为准；为保障项目的连续性，本项目的保险期限须与上一年度的保险止期接续，在此期间发生的保险事故责任均由中标单位承担。</w:t>
      </w:r>
      <w:r>
        <w:rPr>
          <w:rFonts w:ascii="SimSun" w:hAnsi="SimSun" w:eastAsia="SimSun" w:cs="SimSun"/>
          <w:color w:val="000000"/>
          <w:sz w:val="24"/>
        </w:rPr>
        <w:t xml:space="preserve">上一年度的保险止期为2025年9月1日。</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二、合同组成：</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2.1下列文件应作为本合同的组成部分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本保险合同；甲方投保资料；保险单；盐城市大丰区老年人意外伤害保险项目招标文件；投标文件；澄清答疑文件（如有）；中标通知书 ；保险谈判达成的书面合同以及乙方出具的承诺、澄清文书；其他与本保险合同有关的文件。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2.2上述文件互为补充和解释，如有不清或互相矛盾之处，以签署时间在后者为准，如附件内容与合同正本内容有相互冲突之处，均以合同正本为准。但甲乙双方有特别约定的除外。</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三、合同总价、结算金额、支付方式及有关要求：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3.1本项目合同总价为（大写）：</w:t>
      </w:r>
      <w:r>
        <w:rPr>
          <w:rFonts w:ascii="SimSun" w:hAnsi="SimSun" w:eastAsia="SimSun" w:cs="SimSun"/>
          <w:color w:val="000000"/>
          <w:sz w:val="24"/>
          <w:u w:val="single"/>
        </w:rPr>
        <w:t xml:space="preserve">            </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。合同</w:t>
      </w:r>
      <w:r>
        <w:rPr>
          <w:rFonts w:ascii="SimSun" w:hAnsi="SimSun" w:eastAsia="SimSun" w:cs="SimSun"/>
          <w:color w:val="000000"/>
          <w:sz w:val="24"/>
        </w:rPr>
        <w:t xml:space="preserve">单</w:t>
      </w:r>
      <w:r>
        <w:rPr>
          <w:rFonts w:ascii="SimSun" w:hAnsi="SimSun" w:eastAsia="SimSun" w:cs="SimSun"/>
          <w:color w:val="000000"/>
          <w:sz w:val="24"/>
        </w:rPr>
        <w:t xml:space="preserve">价为参保人数乘以50元/人/年。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3.2本合同价款包含所有乙方提供合同约定服务的报酬及乙方提供合同中服务所支出的必要费用，甲方在上述合同价款之外不再向乙方支付其他任何费用。</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3.3保费支付方式：</w:t>
      </w:r>
      <w:r/>
    </w:p>
    <w:p>
      <w:pPr>
        <w:ind w:left="0" w:right="0" w:firstLine="48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3.3.1预付款支付时间：合同签订后，甲方在收到预付款发票后,预付款支付比例：合同金额的30%。</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3.3.2本项目保险费支付时以甲方提供的实际投保清单为准，由乙方出具正式投保单后一次结清保险费(支付时扣除预付款)。</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四、技术资料：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4.1乙方应按采购文件规定的时间向甲方提供有关技术资料。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4.2没有甲方事先书面同意，乙方不得将由甲方提供的有关合同或任何合同条文、计划或资料提供给与履行本合同无关的任何其他人。即使向履行本合同有关的人员提供，也应注意保密并限于履行合同的必需范围。</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五、保险方案及特别约定：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5.1主要保险责任：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5.1.1.被保险人因意外伤害导致身故：定额给付</w:t>
      </w:r>
      <w:r>
        <w:rPr>
          <w:rFonts w:ascii="SimSun" w:hAnsi="SimSun" w:eastAsia="SimSun" w:cs="SimSun"/>
          <w:color w:val="000000"/>
          <w:sz w:val="24"/>
          <w:u w:val="single"/>
        </w:rPr>
        <w:t xml:space="preserve">     </w:t>
      </w:r>
      <w:r>
        <w:rPr>
          <w:rFonts w:ascii="SimSun" w:hAnsi="SimSun" w:eastAsia="SimSun" w:cs="SimSun"/>
          <w:color w:val="000000"/>
          <w:sz w:val="24"/>
        </w:rPr>
        <w:t xml:space="preserve">元/人；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5.1.2.被保险人因意外伤害导致伤残：赔偿限额</w:t>
      </w:r>
      <w:r>
        <w:rPr>
          <w:rFonts w:ascii="SimSun" w:hAnsi="SimSun" w:eastAsia="SimSun" w:cs="SimSun"/>
          <w:color w:val="000000"/>
          <w:sz w:val="24"/>
          <w:u w:val="single"/>
        </w:rPr>
        <w:t xml:space="preserve">   </w:t>
      </w:r>
      <w:r>
        <w:rPr>
          <w:rFonts w:ascii="SimSun" w:hAnsi="SimSun" w:eastAsia="SimSun" w:cs="SimSun"/>
          <w:color w:val="000000"/>
          <w:sz w:val="24"/>
        </w:rPr>
        <w:t xml:space="preserve">元/人；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5.1.3.被保险人因交通事故导致身故：定额给付</w:t>
      </w:r>
      <w:r>
        <w:rPr>
          <w:rFonts w:ascii="SimSun" w:hAnsi="SimSun" w:eastAsia="SimSun" w:cs="SimSun"/>
          <w:color w:val="000000"/>
          <w:sz w:val="24"/>
          <w:u w:val="single"/>
        </w:rPr>
        <w:t xml:space="preserve">    </w:t>
      </w:r>
      <w:r>
        <w:rPr>
          <w:rFonts w:ascii="SimSun" w:hAnsi="SimSun" w:eastAsia="SimSun" w:cs="SimSun"/>
          <w:color w:val="000000"/>
          <w:sz w:val="24"/>
        </w:rPr>
        <w:t xml:space="preserve">元/人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5.1.4.被保险人因意外伤害医疗费用（包含门诊和住院）：赔偿限额</w:t>
      </w:r>
      <w:r>
        <w:rPr>
          <w:rFonts w:ascii="SimSun" w:hAnsi="SimSun" w:eastAsia="SimSun" w:cs="SimSun"/>
          <w:color w:val="000000"/>
          <w:sz w:val="24"/>
          <w:u w:val="single"/>
        </w:rPr>
        <w:t xml:space="preserve">   </w:t>
      </w:r>
      <w:r>
        <w:rPr>
          <w:rFonts w:ascii="SimSun" w:hAnsi="SimSun" w:eastAsia="SimSun" w:cs="SimSun"/>
          <w:color w:val="000000"/>
          <w:sz w:val="24"/>
        </w:rPr>
        <w:t xml:space="preserve">元/人；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5.1.5.被保险人因意外伤害住院：住院津贴</w:t>
      </w:r>
      <w:r>
        <w:rPr>
          <w:rFonts w:ascii="SimSun" w:hAnsi="SimSun" w:eastAsia="SimSun" w:cs="SimSun"/>
          <w:color w:val="000000"/>
          <w:sz w:val="24"/>
          <w:u w:val="single"/>
        </w:rPr>
        <w:t xml:space="preserve">   </w:t>
      </w:r>
      <w:r>
        <w:rPr>
          <w:rFonts w:ascii="SimSun" w:hAnsi="SimSun" w:eastAsia="SimSun" w:cs="SimSun"/>
          <w:color w:val="000000"/>
          <w:sz w:val="24"/>
        </w:rPr>
        <w:t xml:space="preserve">元/人/天，共计180天；</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5.1.6.被保险人因意外伤害仅接受狂犬疫苗治疗的；赔偿限额</w:t>
      </w:r>
      <w:r>
        <w:rPr>
          <w:rFonts w:ascii="SimSun" w:hAnsi="SimSun" w:eastAsia="SimSun" w:cs="SimSun"/>
          <w:color w:val="000000"/>
          <w:sz w:val="24"/>
          <w:u w:val="single"/>
        </w:rPr>
        <w:t xml:space="preserve">   </w:t>
      </w:r>
      <w:r>
        <w:rPr>
          <w:rFonts w:ascii="SimSun" w:hAnsi="SimSun" w:eastAsia="SimSun" w:cs="SimSun"/>
          <w:color w:val="000000"/>
          <w:sz w:val="24"/>
        </w:rPr>
        <w:t xml:space="preserve">元/人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5.2免赔额：无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5.3特别约定</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5.3.1本保险无等待期，被保险人在保险生效后发生保险责任范围内的事故，保险人按合同约定给予赔付。</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关于死亡、伤残、医疗费用等原始凭证复印件的认可保险人同意：死亡、伤残、医疗费用等原始凭证在社会医疗保险机构处理赔偿时已经留档不能分割的，该原始凭证复印件由已赔偿单位盖章，并提供报销凭证，可用于本项目理赔时的依据凭证。</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医疗费用：未参加社会医疗保险人员或其他商业保险的医疗费用赔偿，在医疗费用赔偿限额内据实赔付，无医保内、外限制；参加社会医疗保险或其他商业保险人员的医疗费用赔偿，在医疗费用赔偿限额内按被保险人医疗费用个人实付部分据实赔付，无医保内、外限制；医疗费用包含门诊费用以及住院费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5.3.4被保险人需要到正规的医疗机构或保险人认可的医疗机构治疗，包括乡镇及以上医疗机构（急诊不受限制）。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5.3.5伤残保险责任</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在保险期间内被保险人遭受意外伤害导致伤残时，按照中国保险行业协会发布的人身保险伤残程度评定与保险金给付比例标准给予伤残保险金：</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（1）被保险人因同一意外伤害造成两处或两处以上伤残时，保险人根据《评定标准》规定的多处伤残评定原则给付残疾保险金。</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（2）被保险人如在本次意外伤害之前已有残疾，保险人按合并后的残疾程度在《评定标准》中所对应伤残等级的给付比例扣除原有残疾程度在《评定标准》中所对应伤残等级的给付比例，给付残疾保险金。</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5.3.6在保险期间内被保险人因动物抓（咬）伤产生的医疗费用须按主责给予赔付。</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5.3.7被保险人因交通事故导致身故须按主责给予赔付。</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5.3.8被保险人以民政局认定为准，保险人不得以被保险人的精神和行为障碍导致的意外伤害为由拒绝赔付。</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5.3.9乙方需向被保险人提供保单和本项目保险宣传手册。</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5.3.10本项目合同履行期限中，被保险人数量增加20%以内的，保费不调整，超过部分按照乙方中标单价据实调结算。</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6.1签订合同前，乙方交纳人民币（中标价的10%）元作为本合同的履约保证金。</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备注：采购人应当对AA评级及以上政府采购供应商（需提供信用管理部门备案的第三方信用报告）免收履约保证金。</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6.2履约保证金的缴纳形式：</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6.2.2如以履约保函（保险）形式缴纳履约保证金，供应商可通过政府采购电子履约保函（保险）平台（www.jsdzbh.com）在线申请履约保函（保险）。</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6.2履约保证金的退还：</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6.2.1方式：现金形式缴纳的，无息退还至乙方缴纳履约保证金的账户。保函形式的，在保函有效期届满后自行失效。</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6.2.2时间：项目服务期满后30日内。</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6.2.3条件：乙方已按合同要求全部履约完成且双方无未决争议。</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七、税费</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7.1本合同执行中相关的一切税费均由乙方负担。</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八、服务条款</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8.1服务承诺</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8.1.1承保服务工作细致、明确。</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8.1.2盐城市大丰区的服务网点均有专人服务，须安排专人收取理赔材料；</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8.1.3建立24小时服务热线，明确赶赴事故现场时效、理赔程序、具体赔款时限清楚。</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8.1.4承保人按月汇总承保及理赔数据，于次月5日前向甲方递交相关承保及理赔数据月报，并于保险年度结束后10日内递交承保及理赔数据年报。</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8.1.5承保人在保险期限内实施项目相关活动，包括但不限于风险防范、宣传及培训、宣传资料的印制等。</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8.1.6赔偿处理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（1）基本原则：乙方不得以任何理由推卸、拖延和拒绝被保险人索赔要求，除非有合理和足够的证据证明，否则其行为构成违约并须承担违约责任；</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（2）一旦接到被保险人通知，乙方代表应尽早赶赴事故现场开始初步调查并提出止损建议，被保险人应予以配合；</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（3）被保险人应尽可能为乙方、公估人调查和取证工作保留事故现场；对确因运营需要而无法留待乙方/公估人查勘的事故现场，被保险人应尽可能留下照片、录像、文字记录供乙方审核之用；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（4）涉及有责任的第三方事故时，被保险人不能在获得乙方书面同意以前放弃向其追索的权利；</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（5）乙方收集齐理赔材料后，应在10个工作日内完成赔付工作；</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8.1.7关于保险合同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招标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招标文件及最终合同为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（2）乙方对保险条款进行解释时，只是合同一方的理解，对争议或歧义的裁决应按保险法规定做出有利于被保险人的解释，若仍有争议则以法院裁决为准；但本条约定并不排斥双方平等协商解决争议的原则。</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8.1.8次招标活动依照中华人民共和国相关法律法规进行。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8.1.9其他服务要求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理赔数据必备要素（包括不限于）：户籍所属区县、报案时间、护理机构（或户籍地址）、供养类型、联系人、联系方式、出险人、身份证号、出险原因、出险时间、赔款所属月、赔付金额、赔付时间。       </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九、检验和验收：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9.1合同履行期间、合同期满或履行结束后，甲方有权邀请相关专业机构组成验收小组对乙方履约情况进行验收，内容包括但不限于：本合同履行情况、理赔时限情况、服务质量情况等，乙方须积极配合。</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十、违约责任：</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10.1乙方未履行责任或违反合同约定的，甲方均可追究乙方的违约责任，并有权扣除部分或全部履约保证金，情节严重的解除合同，并报相关部门依法追究其责任。</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十一、不可抗力事件处理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11.1在合同有效期内，任何一方因不可抗力事件导致不能履行合同，则合同履行期可延长，其延长期与不可抗力影响期相同。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11.2不可抗力事件发生后，应立即通知对方，并寄送有关权威机构出具的证明。</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11.3不可抗力事件延续120天以上，双方应通过友好协商，确定是否继续履行合同。</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十二、诉讼</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12.1双方在执行合同中所发生的一切争议，应通过协商解决。如协商不成，可向合同签订地法院起诉，合同签订地在此约定为盐城市大丰区。</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十三、合同生效及其它</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13.1合同经双方法定代表人或授权委托代表人签字并加盖单位公章后生效。</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13.2本合同未尽事宜，遵照《中华人民共和国民法典》有关条文执行。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w:t>
      </w:r>
      <w:r>
        <w:rPr>
          <w:rFonts w:ascii="SimSun" w:hAnsi="SimSun" w:eastAsia="SimSun" w:cs="SimSun"/>
          <w:b/>
          <w:color w:val="000000"/>
          <w:sz w:val="24"/>
        </w:rPr>
        <w:t xml:space="preserve">本合同一式陆份，具有同等法律效力，甲方叁份、乙方叁份。</w:t>
      </w:r>
      <w:r/>
    </w:p>
    <w:p>
      <w:pPr>
        <w:ind w:left="0" w:right="0" w:firstLine="0"/>
        <w:jc w:val="both"/>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（盖章）                        乙方：（盖章）</w:t>
      </w:r>
      <w:r/>
    </w:p>
    <w:p>
      <w:pPr>
        <w:ind w:left="0" w:right="0" w:firstLine="0"/>
        <w:jc w:val="both"/>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w:t>
      </w:r>
      <w:r/>
    </w:p>
    <w:p>
      <w:pPr>
        <w:ind w:left="0" w:right="0" w:firstLine="0"/>
        <w:jc w:val="both"/>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法定代表人</w:t>
      </w:r>
      <w:r/>
    </w:p>
    <w:p>
      <w:pPr>
        <w:ind w:left="0" w:right="0" w:firstLine="0"/>
        <w:jc w:val="both"/>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或授权代表（签字或盖章）：             或授权代表（签字或盖章）：</w:t>
      </w:r>
      <w:r/>
    </w:p>
    <w:p>
      <w:pPr>
        <w:ind w:left="0" w:right="0" w:firstLine="420"/>
        <w:jc w:val="both"/>
        <w:spacing w:before="120" w:after="12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30"/>
        </w:rPr>
        <w:t xml:space="preserve">政府采购合同履约验收书（参考格式）</w:t>
      </w:r>
      <w:r>
        <w:rPr>
          <w:rFonts w:ascii="Times New Roman" w:hAnsi="Times New Roman" w:eastAsia="Times New Roman" w:cs="Times New Roman"/>
          <w:sz w:val="20"/>
        </w:rPr>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根据政府采购合同（编号：</w:t>
      </w:r>
      <w:r>
        <w:rPr>
          <w:rFonts w:ascii="Calibri" w:hAnsi="Calibri" w:eastAsia="Calibri" w:cs="Calibri"/>
          <w:color w:val="000000"/>
          <w:sz w:val="21"/>
          <w:u w:val="single"/>
        </w:rPr>
        <w:t xml:space="preserve">             </w:t>
      </w:r>
      <w:r>
        <w:rPr>
          <w:rFonts w:ascii="SimSun" w:hAnsi="SimSun" w:eastAsia="SimSun" w:cs="SimSun"/>
          <w:color w:val="000000"/>
          <w:sz w:val="21"/>
        </w:rPr>
        <w:t xml:space="preserve">）的约定，我单位组织对</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项目中标（成交）供应商</w:t>
      </w:r>
      <w:r>
        <w:rPr>
          <w:rFonts w:ascii="SimSun" w:hAnsi="SimSun" w:eastAsia="SimSun" w:cs="SimSun"/>
          <w:color w:val="000000"/>
          <w:sz w:val="21"/>
          <w:u w:val="single"/>
        </w:rPr>
        <w:t xml:space="preserve">（公司名称）</w:t>
      </w:r>
      <w:r>
        <w:rPr>
          <w:rFonts w:ascii="SimSun" w:hAnsi="SimSun" w:eastAsia="SimSun" w:cs="SimSun"/>
          <w:color w:val="000000"/>
          <w:sz w:val="21"/>
        </w:rPr>
        <w:t xml:space="preserve">提供的货物（工程、服务）进行了履约验收，验收情况如下：</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43"/>
        <w:gridCol w:w="2529"/>
        <w:gridCol w:w="1479"/>
        <w:gridCol w:w="3257"/>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验收情况和验收意见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（可另附）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验收小组（签字）：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r>
            <w:r>
              <w:rPr>
                <w:rFonts w:ascii="Calibri" w:hAnsi="Calibri" w:eastAsia="Calibri" w:cs="Calibri"/>
                <w:color w:val="000000"/>
                <w:sz w:val="21"/>
              </w:rPr>
              <w:t xml:space="preserve">                              </w:t>
            </w:r>
            <w:r>
              <w:rPr>
                <w:rFonts w:ascii="SimSun" w:hAnsi="SimSun" w:eastAsia="SimSun" w:cs="SimSun"/>
                <w:color w:val="000000"/>
                <w:sz w:val="21"/>
              </w:rPr>
              <w:t xml:space="preserve">年</w:t>
            </w:r>
            <w:r>
              <w:rPr>
                <w:rFonts w:ascii="Calibri" w:hAnsi="Calibri" w:eastAsia="Calibri" w:cs="Calibri"/>
                <w:color w:val="000000"/>
                <w:sz w:val="21"/>
              </w:rPr>
              <w:t xml:space="preserve">    </w:t>
            </w:r>
            <w:r>
              <w:rPr>
                <w:rFonts w:ascii="SimSun" w:hAnsi="SimSun" w:eastAsia="SimSun" w:cs="SimSun"/>
                <w:color w:val="000000"/>
                <w:sz w:val="21"/>
              </w:rPr>
              <w:t xml:space="preserve">月</w:t>
            </w:r>
            <w:r>
              <w:rPr>
                <w:rFonts w:ascii="Calibri" w:hAnsi="Calibri" w:eastAsia="Calibri" w:cs="Calibri"/>
                <w:color w:val="000000"/>
                <w:sz w:val="21"/>
              </w:rPr>
              <w:t xml:space="preserve">    </w:t>
            </w:r>
            <w:r>
              <w:rPr>
                <w:rFonts w:ascii="SimSun" w:hAnsi="SimSun" w:eastAsia="SimSun" w:cs="SimSun"/>
                <w:color w:val="000000"/>
                <w:sz w:val="21"/>
              </w:rPr>
              <w:t xml:space="preserve">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供应商确认意见（签章）：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r>
            <w:r>
              <w:rPr>
                <w:rFonts w:ascii="Calibri" w:hAnsi="Calibri" w:eastAsia="Calibri" w:cs="Calibri"/>
                <w:color w:val="000000"/>
                <w:sz w:val="21"/>
              </w:rPr>
              <w:t xml:space="preserve">                              </w:t>
            </w:r>
            <w:r>
              <w:rPr>
                <w:rFonts w:ascii="SimSun" w:hAnsi="SimSun" w:eastAsia="SimSun" w:cs="SimSun"/>
                <w:color w:val="000000"/>
                <w:sz w:val="21"/>
              </w:rPr>
              <w:t xml:space="preserve">年</w:t>
            </w:r>
            <w:r>
              <w:rPr>
                <w:rFonts w:ascii="Calibri" w:hAnsi="Calibri" w:eastAsia="Calibri" w:cs="Calibri"/>
                <w:color w:val="000000"/>
                <w:sz w:val="21"/>
              </w:rPr>
              <w:t xml:space="preserve">    </w:t>
            </w:r>
            <w:r>
              <w:rPr>
                <w:rFonts w:ascii="SimSun" w:hAnsi="SimSun" w:eastAsia="SimSun" w:cs="SimSun"/>
                <w:color w:val="000000"/>
                <w:sz w:val="21"/>
              </w:rPr>
              <w:t xml:space="preserve">月</w:t>
            </w:r>
            <w:r>
              <w:rPr>
                <w:rFonts w:ascii="Calibri" w:hAnsi="Calibri" w:eastAsia="Calibri" w:cs="Calibri"/>
                <w:color w:val="000000"/>
                <w:sz w:val="21"/>
              </w:rPr>
              <w:t xml:space="preserve">    </w:t>
            </w:r>
            <w:r>
              <w:rPr>
                <w:rFonts w:ascii="SimSun" w:hAnsi="SimSun" w:eastAsia="SimSun" w:cs="SimSun"/>
                <w:color w:val="000000"/>
                <w:sz w:val="21"/>
              </w:rPr>
              <w:t xml:space="preserve">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采购人确认意见（签章）：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r>
            <w:r>
              <w:rPr>
                <w:rFonts w:ascii="Calibri" w:hAnsi="Calibri" w:eastAsia="Calibri" w:cs="Calibri"/>
                <w:color w:val="000000"/>
                <w:sz w:val="21"/>
              </w:rPr>
              <w:t xml:space="preserve">                              </w:t>
            </w:r>
            <w:r>
              <w:rPr>
                <w:rFonts w:ascii="SimSun" w:hAnsi="SimSun" w:eastAsia="SimSun" w:cs="SimSun"/>
                <w:color w:val="000000"/>
                <w:sz w:val="21"/>
              </w:rPr>
              <w:t xml:space="preserve">年</w:t>
            </w:r>
            <w:r>
              <w:rPr>
                <w:rFonts w:ascii="Calibri" w:hAnsi="Calibri" w:eastAsia="Calibri" w:cs="Calibri"/>
                <w:color w:val="000000"/>
                <w:sz w:val="21"/>
              </w:rPr>
              <w:t xml:space="preserve">    </w:t>
            </w:r>
            <w:r>
              <w:rPr>
                <w:rFonts w:ascii="SimSun" w:hAnsi="SimSun" w:eastAsia="SimSun" w:cs="SimSun"/>
                <w:color w:val="000000"/>
                <w:sz w:val="21"/>
              </w:rPr>
              <w:t xml:space="preserve">月</w:t>
            </w:r>
            <w:r>
              <w:rPr>
                <w:rFonts w:ascii="Calibri" w:hAnsi="Calibri" w:eastAsia="Calibri" w:cs="Calibri"/>
                <w:color w:val="000000"/>
                <w:sz w:val="21"/>
              </w:rPr>
              <w:t xml:space="preserve">    </w:t>
            </w:r>
            <w:r>
              <w:rPr>
                <w:rFonts w:ascii="SimSun" w:hAnsi="SimSun" w:eastAsia="SimSun" w:cs="SimSun"/>
                <w:color w:val="000000"/>
                <w:sz w:val="21"/>
              </w:rPr>
              <w:t xml:space="preserve">日</w:t>
            </w:r>
            <w:r/>
          </w:p>
        </w:tc>
      </w:tr>
    </w:tbl>
    <w:p>
      <w:pPr>
        <w:ind w:left="0" w:right="0" w:firstLine="88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88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88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880"/>
        <w:jc w:val="center"/>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第四章 采购需求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一、项目属性:服务类项目。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二、采购标的对应的中小企业划分标准所属行业一览表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2"/>
        <w:gridCol w:w="3075"/>
        <w:gridCol w:w="3326"/>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盐城市大丰区老年人意外伤害保险项目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6"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bl>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三、被保险人</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参保对象为具有大丰区户籍的60周岁及以上的低保、分散特困和80周岁（含）以上老年人群购买老年人意外伤害险，参保人数约35600人，采购人数最终以核对的实际人数为准。</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二、筹资标准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本次采购的盐城市大丰区老年人意外伤害保险项目，保费为50元/人/年。</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三、保险险种名称及条款报备</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（一）本项目保险条款名称以保险人向国家金融监管总局报备的条款名称为准。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（二）投保险种：</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（1）人身意外伤害保险；</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（2）在国家金融监管总局报备的与本项目相关的其他险种。</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四、保险期限</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一年；本项目保险期限以保险单载明的起讫时间为准；为保障项目的连续性，本项目的保险期限须与上一年度的保险止期接续，在此期间发生的保险事故责任均由中标单位承担。上一年度的保险止期为2025年9月1日。</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五、保险方案及特别约定</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（一）主要保险责任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5.1.1.被保险人因意外伤害导致身故：定额给付</w:t>
      </w:r>
      <w:r>
        <w:rPr>
          <w:rFonts w:ascii="SimSun" w:hAnsi="SimSun" w:eastAsia="SimSun" w:cs="SimSun"/>
          <w:color w:val="000000"/>
          <w:sz w:val="24"/>
          <w:u w:val="single"/>
        </w:rPr>
        <w:t xml:space="preserve">8000</w:t>
      </w:r>
      <w:r>
        <w:rPr>
          <w:rFonts w:ascii="SimSun" w:hAnsi="SimSun" w:eastAsia="SimSun" w:cs="SimSun"/>
          <w:color w:val="000000"/>
          <w:sz w:val="24"/>
        </w:rPr>
        <w:t xml:space="preserve">元/人；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5.1.2.被保险人因意外伤害导致伤残：赔偿限额</w:t>
      </w:r>
      <w:r>
        <w:rPr>
          <w:rFonts w:ascii="SimSun" w:hAnsi="SimSun" w:eastAsia="SimSun" w:cs="SimSun"/>
          <w:color w:val="000000"/>
          <w:sz w:val="24"/>
          <w:u w:val="single"/>
        </w:rPr>
        <w:t xml:space="preserve">8000</w:t>
      </w:r>
      <w:r>
        <w:rPr>
          <w:rFonts w:ascii="SimSun" w:hAnsi="SimSun" w:eastAsia="SimSun" w:cs="SimSun"/>
          <w:color w:val="000000"/>
          <w:sz w:val="24"/>
        </w:rPr>
        <w:t xml:space="preserve">元/人；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5.1.3.被保险人因交通事故导致身故：定额给付</w:t>
      </w:r>
      <w:r>
        <w:rPr>
          <w:rFonts w:ascii="SimSun" w:hAnsi="SimSun" w:eastAsia="SimSun" w:cs="SimSun"/>
          <w:color w:val="000000"/>
          <w:sz w:val="24"/>
          <w:u w:val="single"/>
        </w:rPr>
        <w:t xml:space="preserve">10000</w:t>
      </w:r>
      <w:r>
        <w:rPr>
          <w:rFonts w:ascii="SimSun" w:hAnsi="SimSun" w:eastAsia="SimSun" w:cs="SimSun"/>
          <w:color w:val="000000"/>
          <w:sz w:val="24"/>
        </w:rPr>
        <w:t xml:space="preserve">元/人；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5.1.4.被保险人因意外伤害医疗费用（包含门诊和住院）：赔偿限额</w:t>
      </w:r>
      <w:r>
        <w:rPr>
          <w:rFonts w:ascii="SimSun" w:hAnsi="SimSun" w:eastAsia="SimSun" w:cs="SimSun"/>
          <w:color w:val="000000"/>
          <w:sz w:val="24"/>
          <w:u w:val="single"/>
        </w:rPr>
        <w:t xml:space="preserve">2500</w:t>
      </w:r>
      <w:r>
        <w:rPr>
          <w:rFonts w:ascii="SimSun" w:hAnsi="SimSun" w:eastAsia="SimSun" w:cs="SimSun"/>
          <w:color w:val="000000"/>
          <w:sz w:val="24"/>
        </w:rPr>
        <w:t xml:space="preserve">元/人；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5.1.5.被保险人因意外伤害住院：住院津贴</w:t>
      </w:r>
      <w:r>
        <w:rPr>
          <w:rFonts w:ascii="SimSun" w:hAnsi="SimSun" w:eastAsia="SimSun" w:cs="SimSun"/>
          <w:color w:val="000000"/>
          <w:sz w:val="24"/>
          <w:u w:val="single"/>
        </w:rPr>
        <w:t xml:space="preserve">30</w:t>
      </w:r>
      <w:r>
        <w:rPr>
          <w:rFonts w:ascii="SimSun" w:hAnsi="SimSun" w:eastAsia="SimSun" w:cs="SimSun"/>
          <w:color w:val="000000"/>
          <w:sz w:val="24"/>
        </w:rPr>
        <w:t xml:space="preserve">元/人/天，共计180天；</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5.1.6.被保险人因意外伤害仅接受狂犬疫苗治疗的；赔偿限额</w:t>
      </w:r>
      <w:r>
        <w:rPr>
          <w:rFonts w:ascii="SimSun" w:hAnsi="SimSun" w:eastAsia="SimSun" w:cs="SimSun"/>
          <w:color w:val="000000"/>
          <w:sz w:val="24"/>
          <w:u w:val="single"/>
        </w:rPr>
        <w:t xml:space="preserve">300</w:t>
      </w:r>
      <w:r>
        <w:rPr>
          <w:rFonts w:ascii="SimSun" w:hAnsi="SimSun" w:eastAsia="SimSun" w:cs="SimSun"/>
          <w:color w:val="000000"/>
          <w:sz w:val="24"/>
        </w:rPr>
        <w:t xml:space="preserve">元/人。</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（二）免赔额：无</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（三）特别约定</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1.本保险无等待期，被保险人在保险生效后发生保险责任范围内的事故，保险人按合同约定给予赔付。</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2.承保人在保险期限内根据大丰区民政局相关要求进行保险宣传及培训、宣传资料的印制等。</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3.关于死亡、伤残、医疗费用等原始凭证复印件的认可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保险人同意：死亡、伤残、医疗费用等原始凭证在社会医疗保险机构处理赔偿时已经留档不能分割的，该原始凭证复印件由已赔偿单位盖章，并提供报销凭证，可用于本项目理赔时的依据凭证。</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医疗费用：未参加社会医疗保险人员或其他商业保险的医疗费用赔偿，在医疗费用赔偿限额内据实赔付，无医保内、外限制；参加社会医疗保险或其他商业保险人员的医疗费用赔偿，在医疗费用赔偿限额内按被保险人医疗费用个人实付部分据实赔付，无医保内、外限制；医疗费用包含门诊费用以及住院费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5.被保险人需要到正规的医疗机构或保险人认可的医疗机构治疗，包括乡镇及以上医疗机构（急诊不受限制）。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6.伤残保险责任</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在保险期间内被保险人遭受意外伤害导致伤残时，按照中国保险行业协会发布的人身保险伤残程度评定与保险金给付比例标准给予伤残保险金：</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（1）被保险人因同一意外伤害造成两处或两处以上伤残时，保险人根据《评定标准》规定的多处伤残评定原则给付残疾保险金。</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（2）被保险人如在本次意外伤害之前已有残疾，保险人按合并后的残疾程度在《评定标准》中所对应伤残等级的给付比例扣除原有残疾程度在《评定标准》中所对应伤残等级的给付比例，给付残疾保险金。</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7.在保险期间内被保险人因动物抓（咬）伤产生的医疗费用须按主责给予赔付。</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8.被保险人因交通事故导致身故须按主责给予赔付。</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9.被保险人以民政局认定为准，保险人不得以被保险人的精神和行为障碍导致的意外伤害为由拒绝赔付。</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六、服务方案</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为使被保险人获得完善的保险服务，中标人同意以下各项补充约定并将其视为未来保险合同的一部分，由保险双方共同遵守。</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1.承保服务工作细致、明确。</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2.盐城市大丰区的服务网点均有专人服务，须安排专人收取理赔材料。</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3.建立24小时服务热线，明确赶赴事故现场时效、理赔程序、具体赔款时限清楚。</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4.承保人按月汇总承保及理赔数据，于次月5日前向采购人递交相关承保及理赔数据月报，并于保险年度结束后10日内递交承保及理赔数据年报，承保人必须确保数据的及时性、完整性、真实性、准确性、有效性。</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5.承保人在保险期限内按要求实施项目相关活动，包括但不限于风险防范、宣传及培训、宣传资料的印制等。</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6.赔偿处理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（1）基本原则：保险人不得以任何理由推卸、拖延和拒绝被保险人索赔要求，除非有合理和足够的证据证明，否则其行为构成违约并须承担违约责任；</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（2）一旦接到被保险人通知，保险人代表应尽早赶赴事故现场开始初步调查并提出止损建议，被保险人应予以配合；</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（3）被保险人应尽可能为保险人、公估人调查和取证工作保留事故现场；对确因运营需要而无法留待保险人/公估人查勘的事故现场，被保险人应尽可能留下照片、录像、文字记录供保险人审核之用；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（4）涉及有责任的第三方事故时，被保险人不能在获得保险人书面同意以前放弃向其追索的权利；</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（5）对于虽经被保险人/经纪人努力仍无法完成的证据/证明材料提交工作，保险人须予以帮助并不得以此为由推卸、拖延和拒绝履行合同责任；</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（6）保险人收集齐理赔材料后，应在10个工作日内完成赔付工作；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（7）对于已受理报案但拒绝赔付的案件须出具拒赔通知书，并按采购人的要求，将未赔付人员明细于次月5日前递交至采购人。</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rPr>
          <w:rFonts w:ascii="SimHei" w:hAnsi="SimHei" w:eastAsia="SimHei" w:cs="SimHei"/>
          <w:color w:val="000000"/>
          <w:sz w:val="44"/>
        </w:rPr>
        <w:t xml:space="preserve">第五章  评标方法与评标标准</w:t>
      </w:r>
      <w:r>
        <w:rPr>
          <w:rFonts w:ascii="SimHei" w:hAnsi="SimHei" w:eastAsia="SimHei" w:cs="SimHei"/>
          <w:sz w:val="44"/>
        </w:r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评标办法采用综合评分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6、联合体各方均为小型、微型企业（残疾人福利单位、监狱企业）的，联合体享受20%的价格扣除。</w:t>
      </w:r>
      <w:r/>
    </w:p>
    <w:p>
      <w:pPr>
        <w:ind w:left="0" w:right="0" w:firstLine="482"/>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4"/>
        <w:gridCol w:w="1868"/>
        <w:gridCol w:w="767"/>
        <w:gridCol w:w="5332"/>
      </w:tblGrid>
      <w:tr>
        <w:trPr>
          <w:trHeight w:val="559"/>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none"/>
              </w:rPr>
              <w:t xml:space="preserve"> </w:t>
            </w:r>
            <w:r>
              <w:rPr>
                <w:rFonts w:ascii="Arial" w:hAnsi="Arial" w:eastAsia="Arial" w:cs="Arial"/>
                <w:color w:val="000000"/>
                <w:sz w:val="21"/>
              </w:rPr>
              <w:t xml:space="preserve"> </w:t>
            </w:r>
            <w:r>
              <w:rPr>
                <w:rFonts w:ascii="SimSun" w:hAnsi="SimSun" w:eastAsia="SimSun" w:cs="SimSun"/>
                <w:color w:val="000000"/>
                <w:sz w:val="21"/>
              </w:rPr>
              <w:t xml:space="preserve">评审因素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投标保额承诺</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投标保额承诺</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32"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根据投标人对下列保额承诺进行评审，若低于下列定额给付或赔偿限额的，按无效标处理。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投标人子项投标保额承诺得分（保留两位小数）</w:t>
            </w:r>
            <w:r>
              <w:rPr>
                <w:rFonts w:ascii="Calibri" w:hAnsi="Calibri" w:eastAsia="Calibri" w:cs="Calibri"/>
                <w:color w:val="000000"/>
                <w:sz w:val="20"/>
              </w:rPr>
              <w:t xml:space="preserve">=</w:t>
            </w:r>
            <w:r>
              <w:rPr>
                <w:rFonts w:ascii="SimSun" w:hAnsi="SimSun" w:eastAsia="SimSun" w:cs="SimSun"/>
                <w:color w:val="000000"/>
                <w:sz w:val="20"/>
              </w:rPr>
              <w:t xml:space="preserve">（子项投标承诺金额</w:t>
            </w:r>
            <w:r>
              <w:rPr>
                <w:rFonts w:ascii="Calibri" w:hAnsi="Calibri" w:eastAsia="Calibri" w:cs="Calibri"/>
                <w:color w:val="000000"/>
                <w:sz w:val="20"/>
              </w:rPr>
              <w:t xml:space="preserve">/</w:t>
            </w:r>
            <w:r>
              <w:rPr>
                <w:rFonts w:ascii="SimSun" w:hAnsi="SimSun" w:eastAsia="SimSun" w:cs="SimSun"/>
                <w:color w:val="000000"/>
                <w:sz w:val="20"/>
              </w:rPr>
              <w:t xml:space="preserve">子项评标基准价）×对应子项的最高分分值。子项评标基准价为有效投标人该子项最高报价。</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投标人投标保额承诺得分（保留两位小数）</w:t>
            </w:r>
            <w:r>
              <w:rPr>
                <w:rFonts w:ascii="Calibri" w:hAnsi="Calibri" w:eastAsia="Calibri" w:cs="Calibri"/>
                <w:color w:val="000000"/>
                <w:sz w:val="20"/>
              </w:rPr>
              <w:t xml:space="preserve">=</w:t>
            </w:r>
            <w:r>
              <w:rPr>
                <w:rFonts w:ascii="SimSun" w:hAnsi="SimSun" w:eastAsia="SimSun" w:cs="SimSun"/>
                <w:color w:val="000000"/>
                <w:sz w:val="20"/>
              </w:rPr>
              <w:t xml:space="preserve">投标人各子项投标保额承诺得分之和。</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子项</w:t>
            </w:r>
            <w:r>
              <w:rPr>
                <w:rFonts w:ascii="Calibri" w:hAnsi="Calibri" w:eastAsia="Calibri" w:cs="Calibri"/>
                <w:color w:val="000000"/>
                <w:sz w:val="20"/>
              </w:rPr>
              <w:t xml:space="preserve">1</w:t>
            </w:r>
            <w:r>
              <w:rPr>
                <w:rFonts w:ascii="SimSun" w:hAnsi="SimSun" w:eastAsia="SimSun" w:cs="SimSun"/>
                <w:color w:val="000000"/>
                <w:sz w:val="20"/>
              </w:rPr>
              <w:t xml:space="preserve">、被保险人因意外伤害导致身故：定额给付</w:t>
            </w:r>
            <w:r>
              <w:rPr>
                <w:rFonts w:ascii="Calibri" w:hAnsi="Calibri" w:eastAsia="Calibri" w:cs="Calibri"/>
                <w:color w:val="000000"/>
                <w:sz w:val="20"/>
              </w:rPr>
              <w:t xml:space="preserve"> </w:t>
            </w:r>
            <w:r>
              <w:rPr>
                <w:rFonts w:ascii="SimSun" w:hAnsi="SimSun" w:eastAsia="SimSun" w:cs="SimSun"/>
                <w:color w:val="000000"/>
                <w:sz w:val="20"/>
              </w:rPr>
              <w:t xml:space="preserve">不得低于</w:t>
            </w:r>
            <w:r>
              <w:rPr>
                <w:rFonts w:ascii="Calibri" w:hAnsi="Calibri" w:eastAsia="Calibri" w:cs="Calibri"/>
                <w:color w:val="000000"/>
                <w:sz w:val="20"/>
              </w:rPr>
              <w:t xml:space="preserve">8000 </w:t>
            </w:r>
            <w:r>
              <w:rPr>
                <w:rFonts w:ascii="SimSun" w:hAnsi="SimSun" w:eastAsia="SimSun" w:cs="SimSun"/>
                <w:color w:val="000000"/>
                <w:sz w:val="20"/>
              </w:rPr>
              <w:t xml:space="preserve">元</w:t>
            </w:r>
            <w:r>
              <w:rPr>
                <w:rFonts w:ascii="Calibri" w:hAnsi="Calibri" w:eastAsia="Calibri" w:cs="Calibri"/>
                <w:color w:val="000000"/>
                <w:sz w:val="20"/>
              </w:rPr>
              <w:t xml:space="preserve">/</w:t>
            </w:r>
            <w:r>
              <w:rPr>
                <w:rFonts w:ascii="SimSun" w:hAnsi="SimSun" w:eastAsia="SimSun" w:cs="SimSun"/>
                <w:color w:val="000000"/>
                <w:sz w:val="20"/>
              </w:rPr>
              <w:t xml:space="preserve">人，本项最高得</w:t>
            </w:r>
            <w:r>
              <w:rPr>
                <w:rFonts w:ascii="Calibri" w:hAnsi="Calibri" w:eastAsia="Calibri" w:cs="Calibri"/>
                <w:color w:val="000000"/>
                <w:sz w:val="20"/>
              </w:rPr>
              <w:t xml:space="preserve">8</w:t>
            </w:r>
            <w:r>
              <w:rPr>
                <w:rFonts w:ascii="SimSun" w:hAnsi="SimSun" w:eastAsia="SimSun" w:cs="SimSun"/>
                <w:color w:val="000000"/>
                <w:sz w:val="20"/>
              </w:rPr>
              <w:t xml:space="preserve">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子项</w:t>
            </w:r>
            <w:r>
              <w:rPr>
                <w:rFonts w:ascii="Calibri" w:hAnsi="Calibri" w:eastAsia="Calibri" w:cs="Calibri"/>
                <w:color w:val="000000"/>
                <w:sz w:val="20"/>
              </w:rPr>
              <w:t xml:space="preserve">2</w:t>
            </w:r>
            <w:r>
              <w:rPr>
                <w:rFonts w:ascii="SimSun" w:hAnsi="SimSun" w:eastAsia="SimSun" w:cs="SimSun"/>
                <w:color w:val="000000"/>
                <w:sz w:val="20"/>
              </w:rPr>
              <w:t xml:space="preserve">、被保险人因意外伤害导致伤残：赔偿限额不得低于</w:t>
            </w:r>
            <w:r>
              <w:rPr>
                <w:rFonts w:ascii="Calibri" w:hAnsi="Calibri" w:eastAsia="Calibri" w:cs="Calibri"/>
                <w:color w:val="000000"/>
                <w:sz w:val="20"/>
              </w:rPr>
              <w:t xml:space="preserve"> 8000 </w:t>
            </w:r>
            <w:r>
              <w:rPr>
                <w:rFonts w:ascii="SimSun" w:hAnsi="SimSun" w:eastAsia="SimSun" w:cs="SimSun"/>
                <w:color w:val="000000"/>
                <w:sz w:val="20"/>
              </w:rPr>
              <w:t xml:space="preserve">元</w:t>
            </w:r>
            <w:r>
              <w:rPr>
                <w:rFonts w:ascii="Calibri" w:hAnsi="Calibri" w:eastAsia="Calibri" w:cs="Calibri"/>
                <w:color w:val="000000"/>
                <w:sz w:val="20"/>
              </w:rPr>
              <w:t xml:space="preserve">/</w:t>
            </w:r>
            <w:r>
              <w:rPr>
                <w:rFonts w:ascii="SimSun" w:hAnsi="SimSun" w:eastAsia="SimSun" w:cs="SimSun"/>
                <w:color w:val="000000"/>
                <w:sz w:val="20"/>
              </w:rPr>
              <w:t xml:space="preserve">人，本项最高得</w:t>
            </w:r>
            <w:r>
              <w:rPr>
                <w:rFonts w:ascii="Calibri" w:hAnsi="Calibri" w:eastAsia="Calibri" w:cs="Calibri"/>
                <w:color w:val="000000"/>
                <w:sz w:val="20"/>
              </w:rPr>
              <w:t xml:space="preserve">8</w:t>
            </w:r>
            <w:r>
              <w:rPr>
                <w:rFonts w:ascii="SimSun" w:hAnsi="SimSun" w:eastAsia="SimSun" w:cs="SimSun"/>
                <w:color w:val="000000"/>
                <w:sz w:val="20"/>
              </w:rPr>
              <w:t xml:space="preserve">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子项</w:t>
            </w:r>
            <w:r>
              <w:rPr>
                <w:rFonts w:ascii="Calibri" w:hAnsi="Calibri" w:eastAsia="Calibri" w:cs="Calibri"/>
                <w:color w:val="000000"/>
                <w:sz w:val="20"/>
              </w:rPr>
              <w:t xml:space="preserve">3</w:t>
            </w:r>
            <w:r>
              <w:rPr>
                <w:rFonts w:ascii="SimSun" w:hAnsi="SimSun" w:eastAsia="SimSun" w:cs="SimSun"/>
                <w:color w:val="000000"/>
                <w:sz w:val="20"/>
              </w:rPr>
              <w:t xml:space="preserve">、被保险人因交通事故导致身故：定额给付不得低于</w:t>
            </w:r>
            <w:r>
              <w:rPr>
                <w:rFonts w:ascii="Calibri" w:hAnsi="Calibri" w:eastAsia="Calibri" w:cs="Calibri"/>
                <w:color w:val="000000"/>
                <w:sz w:val="20"/>
              </w:rPr>
              <w:t xml:space="preserve"> 10000 </w:t>
            </w:r>
            <w:r>
              <w:rPr>
                <w:rFonts w:ascii="SimSun" w:hAnsi="SimSun" w:eastAsia="SimSun" w:cs="SimSun"/>
                <w:color w:val="000000"/>
                <w:sz w:val="20"/>
              </w:rPr>
              <w:t xml:space="preserve">元</w:t>
            </w:r>
            <w:r>
              <w:rPr>
                <w:rFonts w:ascii="Calibri" w:hAnsi="Calibri" w:eastAsia="Calibri" w:cs="Calibri"/>
                <w:color w:val="000000"/>
                <w:sz w:val="20"/>
              </w:rPr>
              <w:t xml:space="preserve">/</w:t>
            </w:r>
            <w:r>
              <w:rPr>
                <w:rFonts w:ascii="SimSun" w:hAnsi="SimSun" w:eastAsia="SimSun" w:cs="SimSun"/>
                <w:color w:val="000000"/>
                <w:sz w:val="20"/>
              </w:rPr>
              <w:t xml:space="preserve">人，本项最最高得</w:t>
            </w:r>
            <w:r>
              <w:rPr>
                <w:rFonts w:ascii="Calibri" w:hAnsi="Calibri" w:eastAsia="Calibri" w:cs="Calibri"/>
                <w:color w:val="000000"/>
                <w:sz w:val="20"/>
              </w:rPr>
              <w:t xml:space="preserve">8</w:t>
            </w:r>
            <w:r>
              <w:rPr>
                <w:rFonts w:ascii="SimSun" w:hAnsi="SimSun" w:eastAsia="SimSun" w:cs="SimSun"/>
                <w:color w:val="000000"/>
                <w:sz w:val="20"/>
              </w:rPr>
              <w:t xml:space="preserve">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子项</w:t>
            </w:r>
            <w:r>
              <w:rPr>
                <w:rFonts w:ascii="Calibri" w:hAnsi="Calibri" w:eastAsia="Calibri" w:cs="Calibri"/>
                <w:color w:val="000000"/>
                <w:sz w:val="20"/>
              </w:rPr>
              <w:t xml:space="preserve">4</w:t>
            </w:r>
            <w:r>
              <w:rPr>
                <w:rFonts w:ascii="SimSun" w:hAnsi="SimSun" w:eastAsia="SimSun" w:cs="SimSun"/>
                <w:color w:val="000000"/>
                <w:sz w:val="20"/>
              </w:rPr>
              <w:t xml:space="preserve">、被保险人因意外伤害医疗费用（包含门诊和住院）：赔偿限额</w:t>
            </w:r>
            <w:r>
              <w:rPr>
                <w:rFonts w:ascii="Calibri" w:hAnsi="Calibri" w:eastAsia="Calibri" w:cs="Calibri"/>
                <w:color w:val="000000"/>
                <w:sz w:val="20"/>
              </w:rPr>
              <w:t xml:space="preserve"> </w:t>
            </w:r>
            <w:r>
              <w:rPr>
                <w:rFonts w:ascii="SimSun" w:hAnsi="SimSun" w:eastAsia="SimSun" w:cs="SimSun"/>
                <w:color w:val="000000"/>
                <w:sz w:val="20"/>
              </w:rPr>
              <w:t xml:space="preserve">不得低于</w:t>
            </w:r>
            <w:r>
              <w:rPr>
                <w:rFonts w:ascii="Calibri" w:hAnsi="Calibri" w:eastAsia="Calibri" w:cs="Calibri"/>
                <w:color w:val="000000"/>
                <w:sz w:val="20"/>
              </w:rPr>
              <w:t xml:space="preserve">2000 </w:t>
            </w:r>
            <w:r>
              <w:rPr>
                <w:rFonts w:ascii="SimSun" w:hAnsi="SimSun" w:eastAsia="SimSun" w:cs="SimSun"/>
                <w:color w:val="000000"/>
                <w:sz w:val="20"/>
              </w:rPr>
              <w:t xml:space="preserve">元</w:t>
            </w:r>
            <w:r>
              <w:rPr>
                <w:rFonts w:ascii="Calibri" w:hAnsi="Calibri" w:eastAsia="Calibri" w:cs="Calibri"/>
                <w:color w:val="000000"/>
                <w:sz w:val="20"/>
              </w:rPr>
              <w:t xml:space="preserve">/</w:t>
            </w:r>
            <w:r>
              <w:rPr>
                <w:rFonts w:ascii="SimSun" w:hAnsi="SimSun" w:eastAsia="SimSun" w:cs="SimSun"/>
                <w:color w:val="000000"/>
                <w:sz w:val="20"/>
              </w:rPr>
              <w:t xml:space="preserve">人，本项最高得</w:t>
            </w:r>
            <w:r>
              <w:rPr>
                <w:rFonts w:ascii="Calibri" w:hAnsi="Calibri" w:eastAsia="Calibri" w:cs="Calibri"/>
                <w:color w:val="000000"/>
                <w:sz w:val="20"/>
              </w:rPr>
              <w:t xml:space="preserve">8</w:t>
            </w:r>
            <w:r>
              <w:rPr>
                <w:rFonts w:ascii="SimSun" w:hAnsi="SimSun" w:eastAsia="SimSun" w:cs="SimSun"/>
                <w:color w:val="000000"/>
                <w:sz w:val="20"/>
              </w:rPr>
              <w:t xml:space="preserve">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子项</w:t>
            </w:r>
            <w:r>
              <w:rPr>
                <w:rFonts w:ascii="Calibri" w:hAnsi="Calibri" w:eastAsia="Calibri" w:cs="Calibri"/>
                <w:color w:val="000000"/>
                <w:sz w:val="20"/>
              </w:rPr>
              <w:t xml:space="preserve">5</w:t>
            </w:r>
            <w:r>
              <w:rPr>
                <w:rFonts w:ascii="SimSun" w:hAnsi="SimSun" w:eastAsia="SimSun" w:cs="SimSun"/>
                <w:color w:val="000000"/>
                <w:sz w:val="20"/>
              </w:rPr>
              <w:t xml:space="preserve">、被保险人因意外伤害住院：住院津贴不得低于</w:t>
            </w:r>
            <w:r>
              <w:rPr>
                <w:rFonts w:ascii="Calibri" w:hAnsi="Calibri" w:eastAsia="Calibri" w:cs="Calibri"/>
                <w:color w:val="000000"/>
                <w:sz w:val="20"/>
              </w:rPr>
              <w:t xml:space="preserve">30 </w:t>
            </w:r>
            <w:r>
              <w:rPr>
                <w:rFonts w:ascii="SimSun" w:hAnsi="SimSun" w:eastAsia="SimSun" w:cs="SimSun"/>
                <w:color w:val="000000"/>
                <w:sz w:val="20"/>
              </w:rPr>
              <w:t xml:space="preserve">元</w:t>
            </w:r>
            <w:r>
              <w:rPr>
                <w:rFonts w:ascii="Calibri" w:hAnsi="Calibri" w:eastAsia="Calibri" w:cs="Calibri"/>
                <w:color w:val="000000"/>
                <w:sz w:val="20"/>
              </w:rPr>
              <w:t xml:space="preserve">/</w:t>
            </w:r>
            <w:r>
              <w:rPr>
                <w:rFonts w:ascii="SimSun" w:hAnsi="SimSun" w:eastAsia="SimSun" w:cs="SimSun"/>
                <w:color w:val="000000"/>
                <w:sz w:val="20"/>
              </w:rPr>
              <w:t xml:space="preserve">人</w:t>
            </w:r>
            <w:r>
              <w:rPr>
                <w:rFonts w:ascii="Calibri" w:hAnsi="Calibri" w:eastAsia="Calibri" w:cs="Calibri"/>
                <w:color w:val="000000"/>
                <w:sz w:val="20"/>
              </w:rPr>
              <w:t xml:space="preserve">/</w:t>
            </w:r>
            <w:r>
              <w:rPr>
                <w:rFonts w:ascii="SimSun" w:hAnsi="SimSun" w:eastAsia="SimSun" w:cs="SimSun"/>
                <w:color w:val="000000"/>
                <w:sz w:val="20"/>
              </w:rPr>
              <w:t xml:space="preserve">天，共计</w:t>
            </w:r>
            <w:r>
              <w:rPr>
                <w:rFonts w:ascii="Calibri" w:hAnsi="Calibri" w:eastAsia="Calibri" w:cs="Calibri"/>
                <w:color w:val="000000"/>
                <w:sz w:val="20"/>
              </w:rPr>
              <w:t xml:space="preserve">180</w:t>
            </w:r>
            <w:r>
              <w:rPr>
                <w:rFonts w:ascii="SimSun" w:hAnsi="SimSun" w:eastAsia="SimSun" w:cs="SimSun"/>
                <w:color w:val="000000"/>
                <w:sz w:val="20"/>
              </w:rPr>
              <w:t xml:space="preserve">天，本项最高得</w:t>
            </w:r>
            <w:r>
              <w:rPr>
                <w:rFonts w:ascii="Calibri" w:hAnsi="Calibri" w:eastAsia="Calibri" w:cs="Calibri"/>
                <w:color w:val="000000"/>
                <w:sz w:val="20"/>
              </w:rPr>
              <w:t xml:space="preserve">8</w:t>
            </w:r>
            <w:r>
              <w:rPr>
                <w:rFonts w:ascii="SimSun" w:hAnsi="SimSun" w:eastAsia="SimSun" w:cs="SimSun"/>
                <w:color w:val="000000"/>
                <w:sz w:val="20"/>
              </w:rPr>
              <w:t xml:space="preserve">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子项</w:t>
            </w:r>
            <w:r>
              <w:rPr>
                <w:rFonts w:ascii="Calibri" w:hAnsi="Calibri" w:eastAsia="Calibri" w:cs="Calibri"/>
                <w:color w:val="000000"/>
                <w:sz w:val="20"/>
              </w:rPr>
              <w:t xml:space="preserve">6</w:t>
            </w:r>
            <w:r>
              <w:rPr>
                <w:rFonts w:ascii="SimSun" w:hAnsi="SimSun" w:eastAsia="SimSun" w:cs="SimSun"/>
                <w:color w:val="000000"/>
                <w:sz w:val="20"/>
              </w:rPr>
              <w:t xml:space="preserve">、被保险人因意外伤害仅接受狂犬疫苗治疗的；赔偿限额不得低于</w:t>
            </w:r>
            <w:r>
              <w:rPr>
                <w:rFonts w:ascii="Calibri" w:hAnsi="Calibri" w:eastAsia="Calibri" w:cs="Calibri"/>
                <w:color w:val="000000"/>
                <w:sz w:val="20"/>
              </w:rPr>
              <w:t xml:space="preserve">300 </w:t>
            </w:r>
            <w:r>
              <w:rPr>
                <w:rFonts w:ascii="SimSun" w:hAnsi="SimSun" w:eastAsia="SimSun" w:cs="SimSun"/>
                <w:color w:val="000000"/>
                <w:sz w:val="20"/>
              </w:rPr>
              <w:t xml:space="preserve">元</w:t>
            </w:r>
            <w:r>
              <w:rPr>
                <w:rFonts w:ascii="Calibri" w:hAnsi="Calibri" w:eastAsia="Calibri" w:cs="Calibri"/>
                <w:color w:val="000000"/>
                <w:sz w:val="20"/>
              </w:rPr>
              <w:t xml:space="preserve">/</w:t>
            </w:r>
            <w:r>
              <w:rPr>
                <w:rFonts w:ascii="SimSun" w:hAnsi="SimSun" w:eastAsia="SimSun" w:cs="SimSun"/>
                <w:color w:val="000000"/>
                <w:sz w:val="20"/>
              </w:rPr>
              <w:t xml:space="preserve">人，本项最高得</w:t>
            </w:r>
            <w:r>
              <w:rPr>
                <w:rFonts w:ascii="Calibri" w:hAnsi="Calibri" w:eastAsia="Calibri" w:cs="Calibri"/>
                <w:color w:val="000000"/>
                <w:sz w:val="20"/>
              </w:rPr>
              <w:t xml:space="preserve">8</w:t>
            </w:r>
            <w:r>
              <w:rPr>
                <w:rFonts w:ascii="SimSun" w:hAnsi="SimSun" w:eastAsia="SimSun" w:cs="SimSun"/>
                <w:color w:val="000000"/>
                <w:sz w:val="20"/>
              </w:rPr>
              <w:t xml:space="preserve">分。</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7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投标人综合实力</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32"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投标人自2022年1月1日（以合同签订时间为准）以来，具有的类似项目业绩，每有一项得1分，本项最高得2分。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投标时需提供类似项目业绩合同扫描件，未提供或未按要求提供的不得分。</w:t>
            </w:r>
            <w:r/>
          </w:p>
        </w:tc>
      </w:tr>
      <w:tr>
        <w:trPr>
          <w:trHeight w:val="45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偿付能力</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32"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本次参与投标的投标人总公司2024年4个季度平均综合偿付能力由高到低进行排序，排名第一的得3分，排名第二至第四的得2.5分，排名第五至至第七的得2分，排名第八至排名第十的得1分，排名第十一及以上的得0.5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注：投标时须提供中国保险行业协会网站公开信息披露的偿付能力或投标人总公司管网公布的综合偿付能力网上截图加盖投标人公章。投标单位未提供前述材料的，本项不得分且不参与本评分项综合偿付能力排序。若前述两个网站公布的信息不一致，以中国保险行业协会网站公布的信息为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风险综合评级</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10</w:t>
            </w:r>
            <w:r>
              <w:rPr>
                <w:rFonts w:ascii="SimSun" w:hAnsi="SimSun" w:eastAsia="SimSun" w:cs="SimSun"/>
                <w:color w:val="000000"/>
                <w:sz w:val="21"/>
              </w:rPr>
              <w:t xml:space="preserve">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32"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根据本次参与投标的投标人总公司2024年4个季度风险综合评级进行评审：</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（1）获得一次AAA级得2.5分；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（2）获得一次AA级得2分；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（3）获得一次A级得1.5分；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（4）获得一次BBB级得1.0分；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（5）获得一次BB级得0.5分；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（6）获得一次B级得0.25分；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（7）获得C级或D级的不予计分。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注：1、本项最高得10分；</w:t>
            </w:r>
            <w:r/>
          </w:p>
          <w:p>
            <w:pPr>
              <w:ind w:left="0" w:right="0" w:firstLine="40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投标时须提供中国保险行业协会网站公开信息披露的风险综合评级或投标人总公司管网公布的风险综合评级网上截图加盖投标人公章，未提供本项不得分。若前述两个网站公布的信息不一致，以中国保险行业协会网站公布的信息为准。</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7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理赔承诺</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理赔时效承诺</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7</w:t>
            </w:r>
            <w:r>
              <w:rPr>
                <w:rFonts w:ascii="SimSun" w:hAnsi="SimSun" w:eastAsia="SimSun" w:cs="SimSun"/>
                <w:color w:val="000000"/>
                <w:sz w:val="21"/>
              </w:rPr>
              <w:t xml:space="preserve">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32"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针对本项目理赔时效，供应商作出如下承诺：</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理赔资料齐全5个工作日以内（含5个工作日）完成赔付工作的得7分； </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理赔资料齐全5个工作日（不含5个工作日）至7个工作日（含7个工作日）完成赔付工作的得5分； </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理赔资料齐全7个工作日（不含7个工作日）至10个工作日（含10个工作日）完成赔付工作的得3分。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注：</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1、投标时需提供投标承诺书（格式自拟）并加盖供应商公章扫描件。</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2、未承诺或承诺不符合要求，本项得0分。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3、承诺期限超过10个工作日的按无效标处理。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1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上门理赔承诺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7</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32"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投标人承诺上门办理理赔服务且不向被保险人收取费用的得7分，投标时提供承诺书（格式自拟）并加盖供应商公章扫描件。未承诺或承诺不符合要求，本项得0分。</w:t>
            </w:r>
            <w:r/>
          </w:p>
        </w:tc>
      </w:tr>
      <w:tr>
        <w:trPr>
          <w:trHeight w:val="1913"/>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7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保险实施方案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项目启动实施方案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SimSun" w:hAnsi="SimSun" w:eastAsia="SimSun" w:cs="SimSun"/>
                <w:color w:val="000000"/>
                <w:sz w:val="20"/>
              </w:rPr>
              <w:t xml:space="preserve">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32"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根据供应商提供的项目启动实施方案（包括项目实施前准备、推进措施以及阶段性工作安排，管理制度、风险防控和保障措施等）进行综合评审，以上方案内容完整的得</w:t>
            </w:r>
            <w:r>
              <w:rPr>
                <w:rFonts w:ascii="Calibri" w:hAnsi="Calibri" w:eastAsia="Calibri" w:cs="Calibri"/>
                <w:color w:val="000000"/>
                <w:sz w:val="20"/>
              </w:rPr>
              <w:t xml:space="preserve">3.00</w:t>
            </w:r>
            <w:r>
              <w:rPr>
                <w:rFonts w:ascii="SimSun" w:hAnsi="SimSun" w:eastAsia="SimSun" w:cs="SimSun"/>
                <w:color w:val="000000"/>
                <w:sz w:val="20"/>
              </w:rPr>
              <w:t xml:space="preserve">分，方案内容存在缺陷的得</w:t>
            </w:r>
            <w:r>
              <w:rPr>
                <w:rFonts w:ascii="Calibri" w:hAnsi="Calibri" w:eastAsia="Calibri" w:cs="Calibri"/>
                <w:color w:val="000000"/>
                <w:sz w:val="20"/>
              </w:rPr>
              <w:t xml:space="preserve">2.00</w:t>
            </w:r>
            <w:r>
              <w:rPr>
                <w:rFonts w:ascii="SimSun" w:hAnsi="SimSun" w:eastAsia="SimSun" w:cs="SimSun"/>
                <w:color w:val="000000"/>
                <w:sz w:val="20"/>
              </w:rPr>
              <w:t xml:space="preserve">分</w:t>
            </w:r>
            <w:r>
              <w:rPr>
                <w:rFonts w:ascii="Calibri" w:hAnsi="Calibri" w:eastAsia="Calibri" w:cs="Calibri"/>
                <w:color w:val="000000"/>
                <w:sz w:val="20"/>
              </w:rPr>
              <w:t xml:space="preserve">(</w:t>
            </w:r>
            <w:r>
              <w:rPr>
                <w:rFonts w:ascii="SimSun" w:hAnsi="SimSun" w:eastAsia="SimSun" w:cs="SimSun"/>
                <w:color w:val="000000"/>
                <w:sz w:val="20"/>
              </w:rPr>
              <w:t xml:space="preserve">缺陷是指不适用于本项目，仅有框架或标题</w:t>
            </w:r>
            <w:r>
              <w:rPr>
                <w:rFonts w:ascii="Calibri" w:hAnsi="Calibri" w:eastAsia="Calibri" w:cs="Calibri"/>
                <w:color w:val="000000"/>
                <w:sz w:val="20"/>
              </w:rPr>
              <w:t xml:space="preserve">)</w:t>
            </w:r>
            <w:r>
              <w:rPr>
                <w:rFonts w:ascii="SimSun" w:hAnsi="SimSun" w:eastAsia="SimSun" w:cs="SimSun"/>
                <w:color w:val="000000"/>
                <w:sz w:val="20"/>
              </w:rPr>
              <w:t xml:space="preserve">，不提供或提供不全的得</w:t>
            </w:r>
            <w:r>
              <w:rPr>
                <w:rFonts w:ascii="Calibri" w:hAnsi="Calibri" w:eastAsia="Calibri" w:cs="Calibri"/>
                <w:color w:val="000000"/>
                <w:sz w:val="20"/>
              </w:rPr>
              <w:t xml:space="preserve">0</w:t>
            </w:r>
            <w:r>
              <w:rPr>
                <w:rFonts w:ascii="SimSun" w:hAnsi="SimSun" w:eastAsia="SimSun" w:cs="SimSun"/>
                <w:color w:val="000000"/>
                <w:sz w:val="20"/>
              </w:rPr>
              <w:t xml:space="preserve">分。</w:t>
            </w:r>
            <w:r/>
          </w:p>
        </w:tc>
      </w:tr>
      <w:tr>
        <w:trPr>
          <w:trHeight w:val="191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项目组织方案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SimSun" w:hAnsi="SimSun" w:eastAsia="SimSun" w:cs="SimSun"/>
                <w:color w:val="000000"/>
                <w:sz w:val="20"/>
              </w:rPr>
              <w:t xml:space="preserve">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32"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根据供应商提供的项目组织方案（包括服务人员组织框架、服务人员理赔服务质量考核制度、服务人员安排计划等）进行综合评审，以上方案内容完整的得</w:t>
            </w:r>
            <w:r>
              <w:rPr>
                <w:rFonts w:ascii="Calibri" w:hAnsi="Calibri" w:eastAsia="Calibri" w:cs="Calibri"/>
                <w:color w:val="000000"/>
                <w:sz w:val="20"/>
              </w:rPr>
              <w:t xml:space="preserve">3.00</w:t>
            </w:r>
            <w:r>
              <w:rPr>
                <w:rFonts w:ascii="SimSun" w:hAnsi="SimSun" w:eastAsia="SimSun" w:cs="SimSun"/>
                <w:color w:val="000000"/>
                <w:sz w:val="20"/>
              </w:rPr>
              <w:t xml:space="preserve">分，方案内容存在缺陷的得</w:t>
            </w:r>
            <w:r>
              <w:rPr>
                <w:rFonts w:ascii="Calibri" w:hAnsi="Calibri" w:eastAsia="Calibri" w:cs="Calibri"/>
                <w:color w:val="000000"/>
                <w:sz w:val="20"/>
              </w:rPr>
              <w:t xml:space="preserve">2.00</w:t>
            </w:r>
            <w:r>
              <w:rPr>
                <w:rFonts w:ascii="SimSun" w:hAnsi="SimSun" w:eastAsia="SimSun" w:cs="SimSun"/>
                <w:color w:val="000000"/>
                <w:sz w:val="20"/>
              </w:rPr>
              <w:t xml:space="preserve">分</w:t>
            </w:r>
            <w:r>
              <w:rPr>
                <w:rFonts w:ascii="Calibri" w:hAnsi="Calibri" w:eastAsia="Calibri" w:cs="Calibri"/>
                <w:color w:val="000000"/>
                <w:sz w:val="20"/>
              </w:rPr>
              <w:t xml:space="preserve">(</w:t>
            </w:r>
            <w:r>
              <w:rPr>
                <w:rFonts w:ascii="SimSun" w:hAnsi="SimSun" w:eastAsia="SimSun" w:cs="SimSun"/>
                <w:color w:val="000000"/>
                <w:sz w:val="20"/>
              </w:rPr>
              <w:t xml:space="preserve">缺陷是指不适用于本项目，仅有框架或标题</w:t>
            </w:r>
            <w:r>
              <w:rPr>
                <w:rFonts w:ascii="Calibri" w:hAnsi="Calibri" w:eastAsia="Calibri" w:cs="Calibri"/>
                <w:color w:val="000000"/>
                <w:sz w:val="20"/>
              </w:rPr>
              <w:t xml:space="preserve">)</w:t>
            </w:r>
            <w:r>
              <w:rPr>
                <w:rFonts w:ascii="SimSun" w:hAnsi="SimSun" w:eastAsia="SimSun" w:cs="SimSun"/>
                <w:color w:val="000000"/>
                <w:sz w:val="20"/>
              </w:rPr>
              <w:t xml:space="preserve">，不提供或提供不全的得</w:t>
            </w:r>
            <w:r>
              <w:rPr>
                <w:rFonts w:ascii="Calibri" w:hAnsi="Calibri" w:eastAsia="Calibri" w:cs="Calibri"/>
                <w:color w:val="000000"/>
                <w:sz w:val="20"/>
              </w:rPr>
              <w:t xml:space="preserve">0</w:t>
            </w:r>
            <w:r>
              <w:rPr>
                <w:rFonts w:ascii="SimSun" w:hAnsi="SimSun" w:eastAsia="SimSun" w:cs="SimSun"/>
                <w:color w:val="000000"/>
                <w:sz w:val="20"/>
              </w:rPr>
              <w:t xml:space="preserve">分。</w:t>
            </w:r>
            <w:r/>
          </w:p>
        </w:tc>
      </w:tr>
      <w:tr>
        <w:trPr>
          <w:trHeight w:val="191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宣传服务方案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SimSun" w:hAnsi="SimSun" w:eastAsia="SimSun" w:cs="SimSun"/>
                <w:color w:val="000000"/>
                <w:sz w:val="20"/>
              </w:rPr>
              <w:t xml:space="preserve">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32"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考察供应商如何做好对老年人及其家人进行保险的宣传，方案包括宣传活动的组织、保险条款讲解方式等，以上内容完整的得</w:t>
            </w:r>
            <w:r>
              <w:rPr>
                <w:rFonts w:ascii="Calibri" w:hAnsi="Calibri" w:eastAsia="Calibri" w:cs="Calibri"/>
                <w:color w:val="000000"/>
                <w:sz w:val="20"/>
              </w:rPr>
              <w:t xml:space="preserve">3.00</w:t>
            </w:r>
            <w:r>
              <w:rPr>
                <w:rFonts w:ascii="SimSun" w:hAnsi="SimSun" w:eastAsia="SimSun" w:cs="SimSun"/>
                <w:color w:val="000000"/>
                <w:sz w:val="20"/>
              </w:rPr>
              <w:t xml:space="preserve">分，方案内容存在缺陷的得</w:t>
            </w:r>
            <w:r>
              <w:rPr>
                <w:rFonts w:ascii="Calibri" w:hAnsi="Calibri" w:eastAsia="Calibri" w:cs="Calibri"/>
                <w:color w:val="000000"/>
                <w:sz w:val="20"/>
              </w:rPr>
              <w:t xml:space="preserve">2.00</w:t>
            </w:r>
            <w:r>
              <w:rPr>
                <w:rFonts w:ascii="SimSun" w:hAnsi="SimSun" w:eastAsia="SimSun" w:cs="SimSun"/>
                <w:color w:val="000000"/>
                <w:sz w:val="20"/>
              </w:rPr>
              <w:t xml:space="preserve">分</w:t>
            </w:r>
            <w:r>
              <w:rPr>
                <w:rFonts w:ascii="Calibri" w:hAnsi="Calibri" w:eastAsia="Calibri" w:cs="Calibri"/>
                <w:color w:val="000000"/>
                <w:sz w:val="20"/>
              </w:rPr>
              <w:t xml:space="preserve">(</w:t>
            </w:r>
            <w:r>
              <w:rPr>
                <w:rFonts w:ascii="SimSun" w:hAnsi="SimSun" w:eastAsia="SimSun" w:cs="SimSun"/>
                <w:color w:val="000000"/>
                <w:sz w:val="20"/>
              </w:rPr>
              <w:t xml:space="preserve">缺陷是指不适用于本项目，仅有框架或标题</w:t>
            </w:r>
            <w:r>
              <w:rPr>
                <w:rFonts w:ascii="Calibri" w:hAnsi="Calibri" w:eastAsia="Calibri" w:cs="Calibri"/>
                <w:color w:val="000000"/>
                <w:sz w:val="20"/>
              </w:rPr>
              <w:t xml:space="preserve">)</w:t>
            </w:r>
            <w:r>
              <w:rPr>
                <w:rFonts w:ascii="SimSun" w:hAnsi="SimSun" w:eastAsia="SimSun" w:cs="SimSun"/>
                <w:color w:val="000000"/>
                <w:sz w:val="20"/>
              </w:rPr>
              <w:t xml:space="preserve">，不提供或提供不全的得</w:t>
            </w:r>
            <w:r>
              <w:rPr>
                <w:rFonts w:ascii="Calibri" w:hAnsi="Calibri" w:eastAsia="Calibri" w:cs="Calibri"/>
                <w:color w:val="000000"/>
                <w:sz w:val="20"/>
              </w:rPr>
              <w:t xml:space="preserve">0</w:t>
            </w:r>
            <w:r>
              <w:rPr>
                <w:rFonts w:ascii="SimSun" w:hAnsi="SimSun" w:eastAsia="SimSun" w:cs="SimSun"/>
                <w:color w:val="000000"/>
                <w:sz w:val="20"/>
              </w:rPr>
              <w:t xml:space="preserve">分。</w:t>
            </w:r>
            <w:r/>
          </w:p>
        </w:tc>
      </w:tr>
      <w:tr>
        <w:trPr>
          <w:trHeight w:val="191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保险增值服务方案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SimSun" w:hAnsi="SimSun" w:eastAsia="SimSun" w:cs="SimSun"/>
                <w:color w:val="000000"/>
                <w:sz w:val="20"/>
              </w:rPr>
              <w:t xml:space="preserve">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32"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根据采购人提供的招标需求</w:t>
            </w:r>
            <w:r>
              <w:rPr>
                <w:rFonts w:ascii="Calibri" w:hAnsi="Calibri" w:eastAsia="Calibri" w:cs="Calibri"/>
                <w:color w:val="000000"/>
                <w:sz w:val="20"/>
              </w:rPr>
              <w:t xml:space="preserve">,</w:t>
            </w:r>
            <w:r>
              <w:rPr>
                <w:rFonts w:ascii="SimSun" w:hAnsi="SimSun" w:eastAsia="SimSun" w:cs="SimSun"/>
                <w:color w:val="000000"/>
                <w:sz w:val="20"/>
              </w:rPr>
              <w:t xml:space="preserve">投标人如何进行拓展</w:t>
            </w:r>
            <w:r>
              <w:rPr>
                <w:rFonts w:ascii="Calibri" w:hAnsi="Calibri" w:eastAsia="Calibri" w:cs="Calibri"/>
                <w:color w:val="000000"/>
                <w:sz w:val="20"/>
              </w:rPr>
              <w:t xml:space="preserve">,</w:t>
            </w:r>
            <w:r>
              <w:rPr>
                <w:rFonts w:ascii="SimSun" w:hAnsi="SimSun" w:eastAsia="SimSun" w:cs="SimSun"/>
                <w:color w:val="000000"/>
                <w:sz w:val="20"/>
              </w:rPr>
              <w:t xml:space="preserve">提供实质性增值服务，包括保险责任、赔偿额度以及其他相关的内容，以上内容完整的得</w:t>
            </w:r>
            <w:r>
              <w:rPr>
                <w:rFonts w:ascii="Calibri" w:hAnsi="Calibri" w:eastAsia="Calibri" w:cs="Calibri"/>
                <w:color w:val="000000"/>
                <w:sz w:val="20"/>
              </w:rPr>
              <w:t xml:space="preserve">3.00</w:t>
            </w:r>
            <w:r>
              <w:rPr>
                <w:rFonts w:ascii="SimSun" w:hAnsi="SimSun" w:eastAsia="SimSun" w:cs="SimSun"/>
                <w:color w:val="000000"/>
                <w:sz w:val="20"/>
              </w:rPr>
              <w:t xml:space="preserve">分，方案内容存在缺陷的得</w:t>
            </w:r>
            <w:r>
              <w:rPr>
                <w:rFonts w:ascii="Calibri" w:hAnsi="Calibri" w:eastAsia="Calibri" w:cs="Calibri"/>
                <w:color w:val="000000"/>
                <w:sz w:val="20"/>
              </w:rPr>
              <w:t xml:space="preserve">2.00</w:t>
            </w:r>
            <w:r>
              <w:rPr>
                <w:rFonts w:ascii="SimSun" w:hAnsi="SimSun" w:eastAsia="SimSun" w:cs="SimSun"/>
                <w:color w:val="000000"/>
                <w:sz w:val="20"/>
              </w:rPr>
              <w:t xml:space="preserve">分</w:t>
            </w:r>
            <w:r>
              <w:rPr>
                <w:rFonts w:ascii="Calibri" w:hAnsi="Calibri" w:eastAsia="Calibri" w:cs="Calibri"/>
                <w:color w:val="000000"/>
                <w:sz w:val="20"/>
              </w:rPr>
              <w:t xml:space="preserve">(</w:t>
            </w:r>
            <w:r>
              <w:rPr>
                <w:rFonts w:ascii="SimSun" w:hAnsi="SimSun" w:eastAsia="SimSun" w:cs="SimSun"/>
                <w:color w:val="000000"/>
                <w:sz w:val="20"/>
              </w:rPr>
              <w:t xml:space="preserve">缺陷是指不适用于本项目，仅有框架或标题</w:t>
            </w:r>
            <w:r>
              <w:rPr>
                <w:rFonts w:ascii="Calibri" w:hAnsi="Calibri" w:eastAsia="Calibri" w:cs="Calibri"/>
                <w:color w:val="000000"/>
                <w:sz w:val="20"/>
              </w:rPr>
              <w:t xml:space="preserve">)</w:t>
            </w:r>
            <w:r>
              <w:rPr>
                <w:rFonts w:ascii="SimSun" w:hAnsi="SimSun" w:eastAsia="SimSun" w:cs="SimSun"/>
                <w:color w:val="000000"/>
                <w:sz w:val="20"/>
              </w:rPr>
              <w:t xml:space="preserve">，不提供或提供不全的得</w:t>
            </w:r>
            <w:r>
              <w:rPr>
                <w:rFonts w:ascii="Calibri" w:hAnsi="Calibri" w:eastAsia="Calibri" w:cs="Calibri"/>
                <w:color w:val="000000"/>
                <w:sz w:val="20"/>
              </w:rPr>
              <w:t xml:space="preserve">0</w:t>
            </w:r>
            <w:r>
              <w:rPr>
                <w:rFonts w:ascii="SimSun" w:hAnsi="SimSun" w:eastAsia="SimSun" w:cs="SimSun"/>
                <w:color w:val="000000"/>
                <w:sz w:val="20"/>
              </w:rPr>
              <w:t xml:space="preserve">分。</w:t>
            </w:r>
            <w:r/>
          </w:p>
        </w:tc>
      </w:tr>
      <w:tr>
        <w:trPr>
          <w:trHeight w:val="191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SimSun" w:hAnsi="SimSun" w:eastAsia="SimSun" w:cs="SimSun"/>
                <w:color w:val="000000"/>
                <w:sz w:val="20"/>
              </w:rPr>
              <w:t xml:space="preserve">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32"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根据供应商提供的培训方案（包括理赔流程培训、保险条款解读等）进行综合评审，以上内容完整的得</w:t>
            </w:r>
            <w:r>
              <w:rPr>
                <w:rFonts w:ascii="Calibri" w:hAnsi="Calibri" w:eastAsia="Calibri" w:cs="Calibri"/>
                <w:color w:val="000000"/>
                <w:sz w:val="20"/>
              </w:rPr>
              <w:t xml:space="preserve">3.00</w:t>
            </w:r>
            <w:r>
              <w:rPr>
                <w:rFonts w:ascii="SimSun" w:hAnsi="SimSun" w:eastAsia="SimSun" w:cs="SimSun"/>
                <w:color w:val="000000"/>
                <w:sz w:val="20"/>
              </w:rPr>
              <w:t xml:space="preserve">分，方案内容存在缺陷的得</w:t>
            </w:r>
            <w:r>
              <w:rPr>
                <w:rFonts w:ascii="Calibri" w:hAnsi="Calibri" w:eastAsia="Calibri" w:cs="Calibri"/>
                <w:color w:val="000000"/>
                <w:sz w:val="20"/>
              </w:rPr>
              <w:t xml:space="preserve">2.00</w:t>
            </w:r>
            <w:r>
              <w:rPr>
                <w:rFonts w:ascii="SimSun" w:hAnsi="SimSun" w:eastAsia="SimSun" w:cs="SimSun"/>
                <w:color w:val="000000"/>
                <w:sz w:val="20"/>
              </w:rPr>
              <w:t xml:space="preserve">分</w:t>
            </w:r>
            <w:r>
              <w:rPr>
                <w:rFonts w:ascii="Calibri" w:hAnsi="Calibri" w:eastAsia="Calibri" w:cs="Calibri"/>
                <w:color w:val="000000"/>
                <w:sz w:val="20"/>
              </w:rPr>
              <w:t xml:space="preserve">(</w:t>
            </w:r>
            <w:r>
              <w:rPr>
                <w:rFonts w:ascii="SimSun" w:hAnsi="SimSun" w:eastAsia="SimSun" w:cs="SimSun"/>
                <w:color w:val="000000"/>
                <w:sz w:val="20"/>
              </w:rPr>
              <w:t xml:space="preserve">缺陷是指不适用于本项目，仅有框架或标题</w:t>
            </w:r>
            <w:r>
              <w:rPr>
                <w:rFonts w:ascii="Calibri" w:hAnsi="Calibri" w:eastAsia="Calibri" w:cs="Calibri"/>
                <w:color w:val="000000"/>
                <w:sz w:val="20"/>
              </w:rPr>
              <w:t xml:space="preserve">)</w:t>
            </w:r>
            <w:r>
              <w:rPr>
                <w:rFonts w:ascii="SimSun" w:hAnsi="SimSun" w:eastAsia="SimSun" w:cs="SimSun"/>
                <w:color w:val="000000"/>
                <w:sz w:val="20"/>
              </w:rPr>
              <w:t xml:space="preserve">，不提供或提供不全的得</w:t>
            </w:r>
            <w:r>
              <w:rPr>
                <w:rFonts w:ascii="Calibri" w:hAnsi="Calibri" w:eastAsia="Calibri" w:cs="Calibri"/>
                <w:color w:val="000000"/>
                <w:sz w:val="20"/>
              </w:rPr>
              <w:t xml:space="preserve">0</w:t>
            </w:r>
            <w:r>
              <w:rPr>
                <w:rFonts w:ascii="SimSun" w:hAnsi="SimSun" w:eastAsia="SimSun" w:cs="SimSun"/>
                <w:color w:val="000000"/>
                <w:sz w:val="20"/>
              </w:rPr>
              <w:t xml:space="preserve">分。</w:t>
            </w:r>
            <w:r/>
          </w:p>
        </w:tc>
      </w:tr>
      <w:tr>
        <w:trPr>
          <w:trHeight w:val="55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理赔服务方案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SimSun" w:hAnsi="SimSun" w:eastAsia="SimSun" w:cs="SimSun"/>
                <w:color w:val="000000"/>
                <w:sz w:val="20"/>
              </w:rPr>
              <w:t xml:space="preserve">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32"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根据供应商提供的理赔服务方案（包括理赔申请方式、核实理赔资料方式、提高理赔处理效率措施），以上内容完整的得</w:t>
            </w:r>
            <w:r>
              <w:rPr>
                <w:rFonts w:ascii="Calibri" w:hAnsi="Calibri" w:eastAsia="Calibri" w:cs="Calibri"/>
                <w:color w:val="000000"/>
                <w:sz w:val="20"/>
              </w:rPr>
              <w:t xml:space="preserve">3.00</w:t>
            </w:r>
            <w:r>
              <w:rPr>
                <w:rFonts w:ascii="SimSun" w:hAnsi="SimSun" w:eastAsia="SimSun" w:cs="SimSun"/>
                <w:color w:val="000000"/>
                <w:sz w:val="20"/>
              </w:rPr>
              <w:t xml:space="preserve">分，方案内容存在缺陷的得</w:t>
            </w:r>
            <w:r>
              <w:rPr>
                <w:rFonts w:ascii="Calibri" w:hAnsi="Calibri" w:eastAsia="Calibri" w:cs="Calibri"/>
                <w:color w:val="000000"/>
                <w:sz w:val="20"/>
              </w:rPr>
              <w:t xml:space="preserve">2.00</w:t>
            </w:r>
            <w:r>
              <w:rPr>
                <w:rFonts w:ascii="SimSun" w:hAnsi="SimSun" w:eastAsia="SimSun" w:cs="SimSun"/>
                <w:color w:val="000000"/>
                <w:sz w:val="20"/>
              </w:rPr>
              <w:t xml:space="preserve">分</w:t>
            </w:r>
            <w:r>
              <w:rPr>
                <w:rFonts w:ascii="Calibri" w:hAnsi="Calibri" w:eastAsia="Calibri" w:cs="Calibri"/>
                <w:color w:val="000000"/>
                <w:sz w:val="20"/>
              </w:rPr>
              <w:t xml:space="preserve">(</w:t>
            </w:r>
            <w:r>
              <w:rPr>
                <w:rFonts w:ascii="SimSun" w:hAnsi="SimSun" w:eastAsia="SimSun" w:cs="SimSun"/>
                <w:color w:val="000000"/>
                <w:sz w:val="20"/>
              </w:rPr>
              <w:t xml:space="preserve">缺陷是指不适用于本项目，仅有框架或标题</w:t>
            </w:r>
            <w:r>
              <w:rPr>
                <w:rFonts w:ascii="Calibri" w:hAnsi="Calibri" w:eastAsia="Calibri" w:cs="Calibri"/>
                <w:color w:val="000000"/>
                <w:sz w:val="20"/>
              </w:rPr>
              <w:t xml:space="preserve">)</w:t>
            </w:r>
            <w:r>
              <w:rPr>
                <w:rFonts w:ascii="SimSun" w:hAnsi="SimSun" w:eastAsia="SimSun" w:cs="SimSun"/>
                <w:color w:val="000000"/>
                <w:sz w:val="20"/>
              </w:rPr>
              <w:t xml:space="preserve">，不提供或提供不全的得</w:t>
            </w:r>
            <w:r>
              <w:rPr>
                <w:rFonts w:ascii="Calibri" w:hAnsi="Calibri" w:eastAsia="Calibri" w:cs="Calibri"/>
                <w:color w:val="000000"/>
                <w:sz w:val="20"/>
              </w:rPr>
              <w:t xml:space="preserve">0</w:t>
            </w:r>
            <w:r>
              <w:rPr>
                <w:rFonts w:ascii="SimSun" w:hAnsi="SimSun" w:eastAsia="SimSun" w:cs="SimSun"/>
                <w:color w:val="000000"/>
                <w:sz w:val="20"/>
              </w:rPr>
              <w:t xml:space="preserve">分。</w:t>
            </w:r>
            <w:r/>
          </w:p>
        </w:tc>
      </w:tr>
      <w:tr>
        <w:trPr>
          <w:trHeight w:val="55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创新服务方案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w:t>
            </w:r>
            <w:r>
              <w:rPr>
                <w:rFonts w:ascii="SimSun" w:hAnsi="SimSun" w:eastAsia="SimSun" w:cs="SimSun"/>
                <w:color w:val="000000"/>
                <w:sz w:val="20"/>
              </w:rPr>
              <w:t xml:space="preserve">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32"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供应商提供的创新服务方案（特别是在利用互联网、大数据等先进技术对服务质量跟踪管理、待遇享受人员跟踪回访等方面的应用及总体情况等）进行综合评审，以上内容完整的得3.00分，方案内容存在缺陷的得2.00分(缺陷是指不适用于本项目，仅有框架或标题)，不提供或提供不全的得0分。</w:t>
            </w:r>
            <w:r/>
          </w:p>
        </w:tc>
      </w:tr>
      <w:tr>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诚信投标</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32"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投标人提交签署并盖章《盐城市大丰区政府招标采购供应商承诺书》原件扫描件的得2分；没有提供的不得分。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  投标文件格式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72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72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72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72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b/>
          <w:color w:val="000000"/>
          <w:sz w:val="32"/>
        </w:rPr>
        <w:t xml:space="preserve">投标文件目录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0" w:right="0" w:firstLine="480"/>
        <w:spacing w:before="0" w:after="0" w:line="85" w:lineRule="atLeast"/>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二、上一年度的财务状况报表（至少提供资产负债表、利润表、现金流量表，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投标人成立不满一年无需提供）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三、具备履行合同所必需的设备和专业技术能力的书面声明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 3 年内在经营活动中没有重大违法记录的书面声明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六、特定资格要求的证明文件（如果本项目设置特定资格要求，则需要提供）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七、法人授权书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八、投标函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九、小微企业声明函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十一、投标分项报价表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十二、技术要求响应及偏离表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十三、商务要求响应及偏离表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w:t>
      </w:r>
      <w:r>
        <w:rPr>
          <w:rFonts w:ascii="SimSun" w:hAnsi="SimSun" w:eastAsia="SimSun" w:cs="SimSun"/>
          <w:i/>
          <w:color w:val="000000"/>
          <w:sz w:val="24"/>
          <w:u w:val="single"/>
        </w:rPr>
        <w:t xml:space="preserve">投标人总公司2024年以来综合偿付能力、风险综合评级一览表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十五、开标一览表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十六、技术方案等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十七、盐城市政府采购事前信用承诺书、盐城市大丰区政府招标采购供应商承诺书</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投标人成立不满一年无需提供</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30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  明</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六、特定资格要求的证明文件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none"/>
        </w:rPr>
        <w:t xml:space="preserve"> </w:t>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none"/>
        </w:rPr>
        <w:t xml:space="preserve"> </w:t>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none"/>
        </w:rPr>
        <w:t xml:space="preserve"> </w:t>
      </w:r>
      <w:r/>
    </w:p>
    <w:p>
      <w:pPr>
        <w:ind w:left="0" w:right="0" w:firstLine="64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rPr>
          <w:rFonts w:ascii="SimSun" w:hAnsi="SimSun" w:eastAsia="SimSun" w:cs="SimSun"/>
          <w:i/>
          <w:color w:val="000000"/>
          <w:sz w:val="24"/>
          <w:u w:val="single"/>
        </w:rPr>
        <w:t xml:space="preserve">该处填写项目编号</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72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rPr>
          <w:rFonts w:ascii="Times New Roman" w:hAnsi="Times New Roman" w:eastAsia="Times New Roman" w:cs="Times New Roman"/>
          <w:color w:val="000000"/>
          <w:sz w:val="24"/>
          <w:u w:val="single"/>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八、投标函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致：盐城市大丰区民政局</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  （</w:t>
      </w:r>
      <w:r>
        <w:rPr>
          <w:rFonts w:ascii="SimSun" w:hAnsi="SimSun" w:eastAsia="SimSun" w:cs="SimSun"/>
          <w:i/>
          <w:color w:val="000000"/>
          <w:sz w:val="24"/>
          <w:u w:val="single"/>
        </w:rPr>
        <w:t xml:space="preserve">该处填写项目编号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号招标文件，正式授权下述签字人_________________(姓名)代表我方______________（投标人的名称），全权处理本次项目投标的有关事宜。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 标 人 开 户 行：</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九、小微企业声明函（服务）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本公司（联合体）郑重声明，根据《政府采购促进中小企业发展管理办法》(财库[2020]46号)的规定，本公司（联合体）参加采购人组织的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（小型企业、微型企业）；</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180" w:firstLine="36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7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备注2：供应商如不提供此声明函，价格将不做相应扣除（如项目全面面向中小企业，则资格审查不通过）。</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rPr>
          <w:rFonts w:ascii="SimSun" w:hAnsi="SimSun" w:eastAsia="SimSun" w:cs="SimSun"/>
          <w:b/>
          <w:color w:val="000000"/>
          <w:sz w:val="32"/>
        </w:rPr>
        <w:t xml:space="preserve"> </w:t>
      </w:r>
      <w:r>
        <w:rPr>
          <w:rFonts w:ascii="SimHei" w:hAnsi="SimHei" w:eastAsia="SimHei" w:cs="SimHei"/>
          <w:b/>
          <w:color w:val="000000"/>
          <w:sz w:val="32"/>
        </w:rPr>
        <w:t xml:space="preserve">十、残疾人福利性单位声明函</w:t>
      </w:r>
      <w:r>
        <w:rPr>
          <w:rFonts w:ascii="Times New Roman" w:hAnsi="Times New Roman" w:eastAsia="Times New Roman" w:cs="Times New Roman"/>
          <w:sz w:val="20"/>
        </w:rPr>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项目采购活动提供本单位制造的货物，或者提供其他残疾人福利性单位制造的货物（不包括使用非残疾人福利性单位注册商标的货物）。</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备注：1、供应商如不提供此声明函，价格将不做相应扣除（如项目全面面向中小企业，则资格审查不通过）。2、中标供应商为残疾人福利单位的，此声明函将随中标结果同时公告，接受社会监督</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0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0" w:firstLine="48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rPr>
          <w:rFonts w:ascii="Times New Roman" w:hAnsi="Times New Roman" w:eastAsia="Times New Roman" w:cs="Times New Roman"/>
          <w:sz w:val="20"/>
          <w:szCs w:val="20"/>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r/>
    </w:p>
    <w:p>
      <w:pPr>
        <w:ind w:left="0" w:right="0" w:firstLine="0"/>
        <w:jc w:val="center"/>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十一、联合体协议（参考格式）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自愿组成联合体，参加盐城市政府采购中心组织的采购编号为</w:t>
      </w:r>
      <w:r>
        <w:rPr>
          <w:rFonts w:ascii="SimSun" w:hAnsi="SimSun" w:eastAsia="SimSun" w:cs="SimSun"/>
          <w:color w:val="000000"/>
          <w:sz w:val="24"/>
          <w:u w:val="single"/>
        </w:rPr>
        <w:t xml:space="preserve">（编号全称），（项目全称）</w:t>
      </w:r>
      <w:r>
        <w:rPr>
          <w:rFonts w:ascii="SimSun" w:hAnsi="SimSun" w:eastAsia="SimSun" w:cs="SimSun"/>
          <w:color w:val="000000"/>
          <w:sz w:val="24"/>
        </w:rPr>
        <w:t xml:space="preserve">项目（分包号：**）的政府采购活动，我联合体指定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十二、投标保额承诺</w:t>
      </w:r>
      <w:r>
        <w:rPr>
          <w:rFonts w:ascii="Arial" w:hAnsi="Arial" w:eastAsia="Arial" w:cs="Arial"/>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本项目投标保额承诺如下：</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子项</w:t>
      </w:r>
      <w:r>
        <w:rPr>
          <w:rFonts w:ascii="Calibri" w:hAnsi="Calibri" w:eastAsia="Calibri" w:cs="Calibri"/>
          <w:color w:val="000000"/>
          <w:sz w:val="24"/>
        </w:rPr>
        <w:t xml:space="preserve">1</w:t>
      </w:r>
      <w:r>
        <w:rPr>
          <w:rFonts w:ascii="SimSun" w:hAnsi="SimSun" w:eastAsia="SimSun" w:cs="SimSun"/>
          <w:color w:val="000000"/>
          <w:sz w:val="24"/>
        </w:rPr>
        <w:t xml:space="preserve">、被保险人因意外伤害导致身故：定额给付</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Calibri" w:hAnsi="Calibri" w:eastAsia="Calibri" w:cs="Calibri"/>
          <w:color w:val="000000"/>
          <w:sz w:val="24"/>
        </w:rPr>
        <w:t xml:space="preserve">/</w:t>
      </w:r>
      <w:r>
        <w:rPr>
          <w:rFonts w:ascii="SimSun" w:hAnsi="SimSun" w:eastAsia="SimSun" w:cs="SimSun"/>
          <w:color w:val="000000"/>
          <w:sz w:val="24"/>
        </w:rPr>
        <w:t xml:space="preserve">人。</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子项</w:t>
      </w:r>
      <w:r>
        <w:rPr>
          <w:rFonts w:ascii="Calibri" w:hAnsi="Calibri" w:eastAsia="Calibri" w:cs="Calibri"/>
          <w:color w:val="000000"/>
          <w:sz w:val="24"/>
        </w:rPr>
        <w:t xml:space="preserve">2</w:t>
      </w:r>
      <w:r>
        <w:rPr>
          <w:rFonts w:ascii="SimSun" w:hAnsi="SimSun" w:eastAsia="SimSun" w:cs="SimSun"/>
          <w:color w:val="000000"/>
          <w:sz w:val="24"/>
        </w:rPr>
        <w:t xml:space="preserve">、被保险人因意外伤害导致伤残：赔偿限额</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Calibri" w:hAnsi="Calibri" w:eastAsia="Calibri" w:cs="Calibri"/>
          <w:color w:val="000000"/>
          <w:sz w:val="24"/>
        </w:rPr>
        <w:t xml:space="preserve">/</w:t>
      </w:r>
      <w:r>
        <w:rPr>
          <w:rFonts w:ascii="SimSun" w:hAnsi="SimSun" w:eastAsia="SimSun" w:cs="SimSun"/>
          <w:color w:val="000000"/>
          <w:sz w:val="24"/>
        </w:rPr>
        <w:t xml:space="preserve">人。</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子项</w:t>
      </w:r>
      <w:r>
        <w:rPr>
          <w:rFonts w:ascii="Calibri" w:hAnsi="Calibri" w:eastAsia="Calibri" w:cs="Calibri"/>
          <w:color w:val="000000"/>
          <w:sz w:val="24"/>
        </w:rPr>
        <w:t xml:space="preserve">3</w:t>
      </w:r>
      <w:r>
        <w:rPr>
          <w:rFonts w:ascii="SimSun" w:hAnsi="SimSun" w:eastAsia="SimSun" w:cs="SimSun"/>
          <w:color w:val="000000"/>
          <w:sz w:val="24"/>
        </w:rPr>
        <w:t xml:space="preserve">、被保险人因交通事故导致身故：定额给付</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Calibri" w:hAnsi="Calibri" w:eastAsia="Calibri" w:cs="Calibri"/>
          <w:color w:val="000000"/>
          <w:sz w:val="24"/>
        </w:rPr>
        <w:t xml:space="preserve">/</w:t>
      </w:r>
      <w:r>
        <w:rPr>
          <w:rFonts w:ascii="SimSun" w:hAnsi="SimSun" w:eastAsia="SimSun" w:cs="SimSun"/>
          <w:color w:val="000000"/>
          <w:sz w:val="24"/>
        </w:rPr>
        <w:t xml:space="preserve">人。</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子项</w:t>
      </w:r>
      <w:r>
        <w:rPr>
          <w:rFonts w:ascii="Calibri" w:hAnsi="Calibri" w:eastAsia="Calibri" w:cs="Calibri"/>
          <w:color w:val="000000"/>
          <w:sz w:val="24"/>
        </w:rPr>
        <w:t xml:space="preserve">4</w:t>
      </w:r>
      <w:r>
        <w:rPr>
          <w:rFonts w:ascii="SimSun" w:hAnsi="SimSun" w:eastAsia="SimSun" w:cs="SimSun"/>
          <w:color w:val="000000"/>
          <w:sz w:val="24"/>
        </w:rPr>
        <w:t xml:space="preserve">、被保险人因意外伤害医疗费用（包含门诊和住院）：赔偿限额</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Calibri" w:hAnsi="Calibri" w:eastAsia="Calibri" w:cs="Calibri"/>
          <w:color w:val="000000"/>
          <w:sz w:val="24"/>
        </w:rPr>
        <w:t xml:space="preserve">/</w:t>
      </w:r>
      <w:r>
        <w:rPr>
          <w:rFonts w:ascii="SimSun" w:hAnsi="SimSun" w:eastAsia="SimSun" w:cs="SimSun"/>
          <w:color w:val="000000"/>
          <w:sz w:val="24"/>
        </w:rPr>
        <w:t xml:space="preserve">人。</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子项</w:t>
      </w:r>
      <w:r>
        <w:rPr>
          <w:rFonts w:ascii="Calibri" w:hAnsi="Calibri" w:eastAsia="Calibri" w:cs="Calibri"/>
          <w:color w:val="000000"/>
          <w:sz w:val="24"/>
        </w:rPr>
        <w:t xml:space="preserve">5</w:t>
      </w:r>
      <w:r>
        <w:rPr>
          <w:rFonts w:ascii="SimSun" w:hAnsi="SimSun" w:eastAsia="SimSun" w:cs="SimSun"/>
          <w:color w:val="000000"/>
          <w:sz w:val="24"/>
        </w:rPr>
        <w:t xml:space="preserve">、被保险人因意外伤害住院：住院津贴</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Calibri" w:hAnsi="Calibri" w:eastAsia="Calibri" w:cs="Calibri"/>
          <w:color w:val="000000"/>
          <w:sz w:val="24"/>
        </w:rPr>
        <w:t xml:space="preserve">/</w:t>
      </w:r>
      <w:r>
        <w:rPr>
          <w:rFonts w:ascii="SimSun" w:hAnsi="SimSun" w:eastAsia="SimSun" w:cs="SimSun"/>
          <w:color w:val="000000"/>
          <w:sz w:val="24"/>
        </w:rPr>
        <w:t xml:space="preserve">人</w:t>
      </w:r>
      <w:r>
        <w:rPr>
          <w:rFonts w:ascii="Calibri" w:hAnsi="Calibri" w:eastAsia="Calibri" w:cs="Calibri"/>
          <w:color w:val="000000"/>
          <w:sz w:val="24"/>
        </w:rPr>
        <w:t xml:space="preserve">/</w:t>
      </w:r>
      <w:r>
        <w:rPr>
          <w:rFonts w:ascii="SimSun" w:hAnsi="SimSun" w:eastAsia="SimSun" w:cs="SimSun"/>
          <w:color w:val="000000"/>
          <w:sz w:val="24"/>
        </w:rPr>
        <w:t xml:space="preserve">天，共计</w:t>
      </w:r>
      <w:r>
        <w:rPr>
          <w:rFonts w:ascii="Calibri" w:hAnsi="Calibri" w:eastAsia="Calibri" w:cs="Calibri"/>
          <w:color w:val="000000"/>
          <w:sz w:val="24"/>
        </w:rPr>
        <w:t xml:space="preserve">180</w:t>
      </w:r>
      <w:r>
        <w:rPr>
          <w:rFonts w:ascii="SimSun" w:hAnsi="SimSun" w:eastAsia="SimSun" w:cs="SimSun"/>
          <w:color w:val="000000"/>
          <w:sz w:val="24"/>
        </w:rPr>
        <w:t xml:space="preserve">天。</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子项</w:t>
      </w:r>
      <w:r>
        <w:rPr>
          <w:rFonts w:ascii="Calibri" w:hAnsi="Calibri" w:eastAsia="Calibri" w:cs="Calibri"/>
          <w:color w:val="000000"/>
          <w:sz w:val="24"/>
        </w:rPr>
        <w:t xml:space="preserve">6</w:t>
      </w:r>
      <w:r>
        <w:rPr>
          <w:rFonts w:ascii="SimSun" w:hAnsi="SimSun" w:eastAsia="SimSun" w:cs="SimSun"/>
          <w:color w:val="000000"/>
          <w:sz w:val="24"/>
        </w:rPr>
        <w:t xml:space="preserve">、被保险人因意外伤害仅接受狂犬疫苗治疗的；赔偿限额</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Calibri" w:hAnsi="Calibri" w:eastAsia="Calibri" w:cs="Calibri"/>
          <w:color w:val="000000"/>
          <w:sz w:val="24"/>
        </w:rPr>
        <w:t xml:space="preserve">/</w:t>
      </w:r>
      <w:r>
        <w:rPr>
          <w:rFonts w:ascii="SimSun" w:hAnsi="SimSun" w:eastAsia="SimSun" w:cs="SimSun"/>
          <w:color w:val="000000"/>
          <w:sz w:val="24"/>
        </w:rPr>
        <w:t xml:space="preserve">人。</w:t>
      </w: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60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 供应商全称（加盖CA电子公章）：</w:t>
      </w:r>
      <w:r/>
    </w:p>
    <w:p>
      <w:pPr>
        <w:ind w:left="0" w:right="0" w:firstLine="48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十三、技术要求响应及偏离表</w:t>
      </w:r>
      <w:r>
        <w:rPr>
          <w:rFonts w:ascii="Arial" w:hAnsi="Arial" w:eastAsia="Arial" w:cs="Arial"/>
          <w:color w:val="000000"/>
          <w:sz w:val="24"/>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7"/>
        <w:gridCol w:w="2523"/>
        <w:gridCol w:w="2149"/>
        <w:gridCol w:w="1076"/>
        <w:gridCol w:w="967"/>
      </w:tblGrid>
      <w:tr>
        <w:trPr>
          <w:trHeight w:val="9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3"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Arial" w:hAnsi="Arial" w:eastAsia="Arial" w:cs="Arial"/>
          <w:color w:val="000000"/>
          <w:sz w:val="24"/>
        </w:rPr>
        <w:t xml:space="preserve"> </w:t>
      </w:r>
      <w:r>
        <w:rPr>
          <w:rFonts w:ascii="SimSun" w:hAnsi="SimSun" w:eastAsia="SimSun" w:cs="SimSun"/>
          <w:color w:val="000000"/>
          <w:sz w:val="24"/>
        </w:rPr>
        <w:t xml:space="preserve">行数不够，可自行添加。</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十四、商务要求响应及偏离表</w:t>
      </w:r>
      <w:r>
        <w:rPr>
          <w:rFonts w:ascii="Arial" w:hAnsi="Arial" w:eastAsia="Arial" w:cs="Arial"/>
          <w:color w:val="000000"/>
          <w:sz w:val="24"/>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34"/>
        <w:gridCol w:w="2051"/>
        <w:gridCol w:w="1817"/>
        <w:gridCol w:w="1445"/>
        <w:gridCol w:w="13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rPr>
                <w:rFonts w:ascii="SimSun" w:hAnsi="SimSun" w:eastAsia="SimSun" w:cs="SimSun"/>
                <w:color w:val="000000"/>
                <w:sz w:val="24"/>
              </w:rPr>
              <w:t xml:space="preserve">材料</w:t>
            </w:r>
            <w:r>
              <w:rPr>
                <w:rFonts w:ascii="Arial" w:hAnsi="Arial" w:eastAsia="Arial" w:cs="Arial"/>
                <w:sz w:val="24"/>
              </w:rPr>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Arial" w:hAnsi="Arial" w:eastAsia="Arial" w:cs="Arial"/>
          <w:color w:val="000000"/>
          <w:sz w:val="24"/>
        </w:rPr>
        <w:t xml:space="preserve"> </w:t>
      </w:r>
      <w:r>
        <w:rPr>
          <w:rFonts w:ascii="SimSun" w:hAnsi="SimSun" w:eastAsia="SimSun" w:cs="SimSun"/>
          <w:color w:val="000000"/>
          <w:sz w:val="24"/>
        </w:rPr>
        <w:t xml:space="preserve">行数不够，可自行添加。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color w:val="000000"/>
          <w:sz w:val="24"/>
        </w:rPr>
        <w:t xml:space="preserve">十五、投标人总公司</w:t>
      </w:r>
      <w:r>
        <w:rPr>
          <w:rFonts w:ascii="Arial" w:hAnsi="Arial" w:eastAsia="Arial" w:cs="Arial"/>
          <w:color w:val="000000"/>
          <w:sz w:val="24"/>
        </w:rPr>
        <w:t xml:space="preserve">2024</w:t>
      </w:r>
      <w:r>
        <w:rPr>
          <w:rFonts w:ascii="SimSun" w:hAnsi="SimSun" w:eastAsia="SimSun" w:cs="SimSun"/>
          <w:color w:val="000000"/>
          <w:sz w:val="24"/>
        </w:rPr>
        <w:t xml:space="preserve">年以来综合偿付能力、风险综合评级一览表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7"/>
        <w:gridCol w:w="680"/>
        <w:gridCol w:w="865"/>
        <w:gridCol w:w="545"/>
        <w:gridCol w:w="990"/>
        <w:gridCol w:w="252"/>
        <w:gridCol w:w="1175"/>
        <w:gridCol w:w="68"/>
        <w:gridCol w:w="1359"/>
        <w:gridCol w:w="6266"/>
        <w:gridCol w:w="2165"/>
        <w:gridCol w:w="321"/>
        <w:gridCol w:w="2349"/>
      </w:tblGrid>
      <w:tr>
        <w:trPr>
          <w:trHeight w:val="43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单位名称</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2024年第1季度</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2024年第2季度</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2024年第3季度</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2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2024年第4季度</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2025年第1季度</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2025年第2季度</w:t>
            </w:r>
            <w:r/>
          </w:p>
        </w:tc>
      </w:tr>
      <w:tr>
        <w:trPr>
          <w:trHeight w:val="75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综合偿付能力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风险综合评级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综合偿付能力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风险综合评级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综合偿付能力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风险综合评级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综合偿付能力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风险综合评级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综合偿付能力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风险综合评级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综合偿付能力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风险综合评级</w:t>
            </w:r>
            <w:r/>
          </w:p>
        </w:tc>
      </w:tr>
      <w:tr>
        <w:trPr>
          <w:trHeight w:val="6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spacing w:before="0" w:after="0"/>
        <w:rPr>
          <w:u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none"/>
        </w:rPr>
        <w:t xml:space="preserve"> </w:t>
      </w:r>
      <w:r>
        <w:rPr>
          <w:u w:val="none"/>
        </w:rPr>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十六、开标一览表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w:t>
      </w:r>
      <w:r>
        <w:rPr>
          <w:rFonts w:ascii="Arial" w:hAnsi="Arial" w:eastAsia="Arial" w:cs="Arial"/>
          <w:color w:val="000000"/>
          <w:sz w:val="24"/>
        </w:rPr>
        <w:t xml:space="preserve">CA</w:t>
      </w:r>
      <w:r>
        <w:rPr>
          <w:rFonts w:ascii="SimSun" w:hAnsi="SimSun" w:eastAsia="SimSun" w:cs="SimSun"/>
          <w:color w:val="000000"/>
          <w:sz w:val="24"/>
        </w:rPr>
        <w:t xml:space="preserve">电子签章）：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rPr>
          <w:rFonts w:ascii="Arial" w:hAnsi="Arial" w:eastAsia="Arial" w:cs="Arial"/>
          <w:color w:val="000000"/>
          <w:sz w:val="24"/>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29"/>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rPr>
                <w:rFonts w:ascii="SimSun" w:hAnsi="SimSun" w:eastAsia="SimSun" w:cs="SimSun"/>
                <w:color w:val="000000"/>
                <w:sz w:val="24"/>
              </w:rPr>
              <w:t xml:space="preserve">投标总报价</w:t>
            </w:r>
            <w:r/>
          </w:p>
        </w:tc>
      </w:tr>
      <w:tr>
        <w:trPr>
          <w:trHeight w:val="6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9"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Arial" w:hAnsi="Arial" w:eastAsia="Arial" w:cs="Arial"/>
                <w:color w:val="000000"/>
                <w:sz w:val="24"/>
              </w:rPr>
              <w:t xml:space="preserve"> 1780000.00 </w:t>
            </w:r>
            <w:r>
              <w:rPr>
                <w:rFonts w:ascii="SimSun" w:hAnsi="SimSun" w:eastAsia="SimSun" w:cs="SimSun"/>
                <w:color w:val="000000"/>
                <w:sz w:val="24"/>
              </w:rPr>
              <w:t xml:space="preserve">（人民币：元）</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rPr>
          <w:rFonts w:ascii="SimSun" w:hAnsi="SimSun" w:eastAsia="SimSun" w:cs="SimSun"/>
          <w:color w:val="000000"/>
          <w:sz w:val="24"/>
        </w:rPr>
        <w:t xml:space="preserve">日期：</w:t>
      </w:r>
      <w:r>
        <w:rPr>
          <w:rFonts w:ascii="Arial" w:hAnsi="Arial" w:eastAsia="Arial" w:cs="Arial"/>
          <w:color w:val="000000"/>
          <w:sz w:val="24"/>
        </w:rPr>
        <w:t xml:space="preserve">  </w:t>
      </w:r>
      <w:r>
        <w:rPr>
          <w:rFonts w:ascii="Arial" w:hAnsi="Arial" w:eastAsia="Arial" w:cs="Arial"/>
          <w:color w:val="000000"/>
          <w:sz w:val="24"/>
          <w:u w:val="single"/>
        </w:rPr>
        <w:t xml:space="preserve">     </w:t>
      </w:r>
      <w:r>
        <w:rPr>
          <w:rFonts w:ascii="SimSun" w:hAnsi="SimSun" w:eastAsia="SimSun" w:cs="SimSun"/>
          <w:color w:val="000000"/>
          <w:sz w:val="24"/>
        </w:rPr>
        <w:t xml:space="preserve">年</w:t>
      </w:r>
      <w:r>
        <w:rPr>
          <w:rFonts w:ascii="Arial" w:hAnsi="Arial" w:eastAsia="Arial" w:cs="Arial"/>
          <w:color w:val="000000"/>
          <w:sz w:val="24"/>
          <w:u w:val="single"/>
        </w:rPr>
        <w:t xml:space="preserve">   </w:t>
      </w:r>
      <w:r>
        <w:rPr>
          <w:rFonts w:ascii="SimSun" w:hAnsi="SimSun" w:eastAsia="SimSun" w:cs="SimSun"/>
          <w:color w:val="000000"/>
          <w:sz w:val="24"/>
        </w:rPr>
        <w:t xml:space="preserve">月</w:t>
      </w:r>
      <w:r>
        <w:rPr>
          <w:rFonts w:ascii="Arial" w:hAnsi="Arial" w:eastAsia="Arial" w:cs="Arial"/>
          <w:color w:val="000000"/>
          <w:sz w:val="24"/>
          <w:u w:val="single"/>
        </w:rPr>
        <w:t xml:space="preserve">   </w:t>
      </w:r>
      <w:r>
        <w:rPr>
          <w:rFonts w:ascii="SimSun" w:hAnsi="SimSun" w:eastAsia="SimSun" w:cs="SimSun"/>
          <w:color w:val="000000"/>
          <w:sz w:val="24"/>
        </w:rPr>
        <w:t xml:space="preserve">日</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友情提醒：本项目保费采用固定价50元/人/年，其价格不列为评审因素，投标时投标总价统一填写178万元。</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友情提醒：供应商投标时，在客户端标书制作时，扣除类型选项请选择 “无”。</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十七、技术方案等</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rPr>
          <w:rFonts w:ascii="Times New Roman" w:hAnsi="Times New Roman" w:eastAsia="Times New Roman" w:cs="Times New Roman"/>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643"/>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643"/>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643"/>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643"/>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643"/>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十八、</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盐城市政府采购事前信用承诺书</w:t>
      </w:r>
      <w:r/>
    </w:p>
    <w:p>
      <w:pPr>
        <w:ind w:left="0" w:right="0" w:firstLine="6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（四）严格遵守即时信息公示规定，及时维护和更新维护和更新盐城市政府采购网中与本单位相关的信息；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50" w:after="5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50" w:after="5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50" w:after="5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盐城市大丰区政府招标采购供应商承诺书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为营造公开、公平、公正、诚实守信的政府招标采购交易环境，树立诚信守法的投标人形象，本单位参加政府招标采购项目</w:t>
      </w:r>
      <w:r>
        <w:rPr>
          <w:rFonts w:ascii="SimSun" w:hAnsi="SimSun" w:eastAsia="SimSun" w:cs="SimSun"/>
          <w:color w:val="000000"/>
          <w:sz w:val="24"/>
          <w:u w:val="single"/>
        </w:rPr>
        <w:t xml:space="preserve">：           </w:t>
      </w:r>
      <w:r>
        <w:rPr>
          <w:rFonts w:ascii="SimSun" w:hAnsi="SimSun" w:eastAsia="SimSun" w:cs="SimSun"/>
          <w:color w:val="000000"/>
          <w:sz w:val="24"/>
        </w:rPr>
        <w:t xml:space="preserve">的招标采购活动，本人代表本单位作出以下承诺：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单位对所提交的企（事）业单位基本信息、企（事）业负责人、项目经理、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（三）严格依照国家和省、市关于政府招标采购的法律、法规、规章、规范性文件，参加政府招标采购的投标活动；积极履行社会责任，促进廉政建设；</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（四）严格遵守即时信息公示规定，及时维护和更新盐城市政府采购网、公共资源交易平台中与本单位相关的信息；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left="0" w:right="0" w:firstLine="367"/>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（六）自觉接受政府、行业组织、社会公众、新闻舆论的监督；</w:t>
      </w:r>
      <w:r/>
    </w:p>
    <w:p>
      <w:pPr>
        <w:ind w:left="0" w:right="0" w:firstLine="367"/>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367"/>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（八）本人已认真阅读了上述承诺，并向本单位员工作了宣传教育。</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            单位名称（盖章）：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              年    月    日</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tab/>
        <w:t xml:space="preserve"> </w:t>
        <w:tab/>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tab/>
        <w:tab/>
        <w:tab/>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tab/>
        <w:tab/>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tab/>
        <w:tab/>
        <w:tab/>
        <w:tab/>
        <w:tab/>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tab/>
        <w:tab/>
        <w:tab/>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tab/>
        <w:tab/>
        <w:tab/>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tab/>
        <w:tab/>
        <w:tab/>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w:t>
      </w:r>
      <w:r/>
    </w:p>
    <w:p>
      <w:pPr>
        <w:ind w:left="0" w:right="0" w:firstLine="0"/>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公章：              日期：    </w:t>
      </w:r>
      <w:r/>
    </w:p>
    <w:p>
      <w:pPr>
        <w:ind w:left="0" w:right="0" w:firstLine="482"/>
        <w:jc w:val="both"/>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240" w:after="24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r/>
      <w:r/>
    </w:p>
    <w:sectPr>
      <w:footerReference w:type="default" r:id="rId8"/>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Times New Roman">
    <w:panose1 w:val="02020603050405020304"/>
  </w:font>
  <w:font w:name="SimSun">
    <w:panose1 w:val="02010600030101010101"/>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jc w:val="center"/>
    </w:pPr>
    <w:fldSimple w:instr="PAGE \* MERGEFORMAT">
      <w:r>
        <w:t xml:space="preserve">1</w:t>
      </w:r>
    </w:fldSimple>
    <w:r/>
    <w:r/>
  </w:p>
  <w:p>
    <w:pPr>
      <w:pStyle w:val="6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uiPriority w:val="34"/>
    <w:qFormat/>
    <w:pPr>
      <w:contextualSpacing/>
      <w:ind w:left="720"/>
    </w:pPr>
  </w:style>
  <w:style w:type="paragraph" w:styleId="669">
    <w:name w:val="No Spacing"/>
    <w:uiPriority w:val="1"/>
    <w:qFormat/>
    <w:pPr>
      <w:spacing w:before="0" w:after="0" w:line="240" w:lineRule="auto"/>
    </w:pPr>
  </w:style>
  <w:style w:type="paragraph" w:styleId="670">
    <w:name w:val="Title"/>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link w:val="675"/>
    <w:uiPriority w:val="29"/>
    <w:qFormat/>
    <w:pPr>
      <w:ind w:left="720" w:right="720"/>
    </w:pPr>
    <w:rPr>
      <w:i/>
    </w:rPr>
  </w:style>
  <w:style w:type="character" w:styleId="675">
    <w:name w:val="Quote Char"/>
    <w:link w:val="674"/>
    <w:uiPriority w:val="29"/>
    <w:rPr>
      <w:i/>
    </w:rPr>
  </w:style>
  <w:style w:type="paragraph" w:styleId="676">
    <w:name w:val="Intense Quote"/>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link w:val="683"/>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0">
    <w:name w:val="Hyperlink"/>
    <w:uiPriority w:val="99"/>
    <w:unhideWhenUsed/>
    <w:rPr>
      <w:color w:val="0000ff" w:themeColor="hyperlink"/>
      <w:u w:val="single"/>
    </w:rPr>
  </w:style>
  <w:style w:type="paragraph" w:styleId="811">
    <w:name w:val="footnote text"/>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uiPriority w:val="39"/>
    <w:unhideWhenUsed/>
    <w:pPr>
      <w:ind w:left="0" w:right="0" w:firstLine="0"/>
      <w:spacing w:after="57"/>
    </w:pPr>
  </w:style>
  <w:style w:type="paragraph" w:styleId="818">
    <w:name w:val="toc 2"/>
    <w:uiPriority w:val="39"/>
    <w:unhideWhenUsed/>
    <w:pPr>
      <w:ind w:left="283" w:right="0" w:firstLine="0"/>
      <w:spacing w:after="57"/>
    </w:pPr>
  </w:style>
  <w:style w:type="paragraph" w:styleId="819">
    <w:name w:val="toc 3"/>
    <w:uiPriority w:val="39"/>
    <w:unhideWhenUsed/>
    <w:pPr>
      <w:ind w:left="567" w:right="0" w:firstLine="0"/>
      <w:spacing w:after="57"/>
    </w:pPr>
  </w:style>
  <w:style w:type="paragraph" w:styleId="820">
    <w:name w:val="toc 4"/>
    <w:uiPriority w:val="39"/>
    <w:unhideWhenUsed/>
    <w:pPr>
      <w:ind w:left="850" w:right="0" w:firstLine="0"/>
      <w:spacing w:after="57"/>
    </w:pPr>
  </w:style>
  <w:style w:type="paragraph" w:styleId="821">
    <w:name w:val="toc 5"/>
    <w:uiPriority w:val="39"/>
    <w:unhideWhenUsed/>
    <w:pPr>
      <w:ind w:left="1134" w:right="0" w:firstLine="0"/>
      <w:spacing w:after="57"/>
    </w:pPr>
  </w:style>
  <w:style w:type="paragraph" w:styleId="822">
    <w:name w:val="toc 6"/>
    <w:uiPriority w:val="39"/>
    <w:unhideWhenUsed/>
    <w:pPr>
      <w:ind w:left="1417" w:right="0" w:firstLine="0"/>
      <w:spacing w:after="57"/>
    </w:pPr>
  </w:style>
  <w:style w:type="paragraph" w:styleId="823">
    <w:name w:val="toc 7"/>
    <w:uiPriority w:val="39"/>
    <w:unhideWhenUsed/>
    <w:pPr>
      <w:ind w:left="1701" w:right="0" w:firstLine="0"/>
      <w:spacing w:after="57"/>
    </w:pPr>
  </w:style>
  <w:style w:type="paragraph" w:styleId="824">
    <w:name w:val="toc 8"/>
    <w:uiPriority w:val="39"/>
    <w:unhideWhenUsed/>
    <w:pPr>
      <w:ind w:left="1984" w:right="0" w:firstLine="0"/>
      <w:spacing w:after="57"/>
    </w:pPr>
  </w:style>
  <w:style w:type="paragraph" w:styleId="825">
    <w:name w:val="toc 9"/>
    <w:uiPriority w:val="39"/>
    <w:unhideWhenUsed/>
    <w:pPr>
      <w:ind w:left="2268" w:right="0" w:firstLine="0"/>
      <w:spacing w:after="57"/>
    </w:pPr>
  </w:style>
  <w:style w:type="paragraph" w:styleId="826">
    <w:name w:val="TOC Heading"/>
    <w:uiPriority w:val="39"/>
    <w:unhideWhenUsed/>
  </w:style>
  <w:style w:type="paragraph" w:styleId="827">
    <w:name w:val="table of figures"/>
    <w:uiPriority w:val="99"/>
    <w:unhideWhenUsed/>
    <w:pPr>
      <w:spacing w:after="0" w:afterAutospacing="0"/>
    </w:pPr>
  </w:style>
  <w:style w:type="character" w:styleId="828" w:default="1">
    <w:name w:val="Default Paragraph Font"/>
    <w:uiPriority w:val="1"/>
    <w:semiHidden/>
    <w:unhideWhenUsed/>
  </w:style>
  <w:style w:type="numbering" w:styleId="829" w:default="1">
    <w:name w:val="No List"/>
    <w:uiPriority w:val="99"/>
    <w:semiHidden/>
    <w:unhideWhenUsed/>
  </w:style>
  <w:style w:type="paragraph" w:styleId="830" w:default="1">
    <w:name w:val="Normal"/>
    <w:qFormat/>
  </w:style>
  <w:style w:type="table" w:styleId="8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单钰锋</cp:lastModifiedBy>
  <cp:revision>3</cp:revision>
  <dcterms:created xsi:type="dcterms:W3CDTF">2025-11-27T07:17:07Z</dcterms:created>
  <dcterms:modified xsi:type="dcterms:W3CDTF">2025-11-27T08:28:54Z</dcterms:modified>
</cp:coreProperties>
</file>